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A6" w:rsidRPr="001159AE" w:rsidRDefault="007E658B" w:rsidP="00A661F8">
      <w:pPr>
        <w:pStyle w:val="Heading3"/>
        <w:pBdr>
          <w:top w:val="single" w:sz="4" w:space="1" w:color="auto"/>
        </w:pBdr>
        <w:shd w:val="clear" w:color="auto" w:fill="D9D9D9" w:themeFill="background1" w:themeFillShade="D9"/>
        <w:jc w:val="center"/>
        <w:rPr>
          <w:rFonts w:ascii="Century Schoolbook" w:hAnsi="Century Schoolbook"/>
          <w:sz w:val="32"/>
          <w:szCs w:val="32"/>
        </w:rPr>
      </w:pPr>
      <w:bookmarkStart w:id="0" w:name="_GoBack"/>
      <w:bookmarkEnd w:id="0"/>
      <w:r>
        <w:rPr>
          <w:rFonts w:ascii="Century Schoolbook" w:hAnsi="Century Schoolbook"/>
          <w:color w:val="000000"/>
          <w:sz w:val="32"/>
          <w:szCs w:val="32"/>
        </w:rPr>
        <w:t>FilmArray®</w:t>
      </w:r>
      <w:r w:rsidR="00A85AA6" w:rsidRPr="001159AE">
        <w:rPr>
          <w:rFonts w:ascii="Century Schoolbook" w:hAnsi="Century Schoolbook"/>
          <w:color w:val="000000"/>
          <w:sz w:val="32"/>
          <w:szCs w:val="32"/>
        </w:rPr>
        <w:t xml:space="preserve"> Respiratory Panel </w:t>
      </w:r>
      <w:r>
        <w:rPr>
          <w:rFonts w:ascii="Century Schoolbook" w:hAnsi="Century Schoolbook"/>
          <w:color w:val="000000"/>
          <w:sz w:val="32"/>
          <w:szCs w:val="32"/>
        </w:rPr>
        <w:t xml:space="preserve">2 (RP2) </w:t>
      </w:r>
      <w:r w:rsidR="00A85AA6" w:rsidRPr="001159AE">
        <w:rPr>
          <w:rFonts w:ascii="Century Schoolbook" w:hAnsi="Century Schoolbook"/>
          <w:color w:val="000000"/>
          <w:sz w:val="32"/>
          <w:szCs w:val="32"/>
        </w:rPr>
        <w:t>Testing</w:t>
      </w:r>
    </w:p>
    <w:p w:rsidR="00A85AA6" w:rsidRPr="00743426" w:rsidRDefault="00A85AA6" w:rsidP="00A661F8">
      <w:pPr>
        <w:pStyle w:val="Heading3"/>
        <w:pBdr>
          <w:bottom w:val="none" w:sz="0" w:space="0" w:color="auto"/>
        </w:pBdr>
        <w:rPr>
          <w:rFonts w:ascii="Century Schoolbook" w:hAnsi="Century Schoolbook"/>
          <w:sz w:val="24"/>
          <w:szCs w:val="24"/>
        </w:rPr>
      </w:pPr>
    </w:p>
    <w:p w:rsidR="00B9018F" w:rsidRPr="00743426" w:rsidRDefault="00B9018F" w:rsidP="00A661F8">
      <w:pPr>
        <w:pStyle w:val="Heading3"/>
        <w:rPr>
          <w:rFonts w:ascii="Century Schoolbook" w:hAnsi="Century Schoolbook"/>
          <w:szCs w:val="24"/>
        </w:rPr>
      </w:pPr>
      <w:r w:rsidRPr="00743426">
        <w:rPr>
          <w:rFonts w:ascii="Century Schoolbook" w:hAnsi="Century Schoolbook"/>
          <w:szCs w:val="24"/>
        </w:rPr>
        <w:t>Pu</w:t>
      </w:r>
      <w:r w:rsidR="00CF12B7">
        <w:rPr>
          <w:rFonts w:ascii="Century Schoolbook" w:hAnsi="Century Schoolbook"/>
          <w:szCs w:val="24"/>
        </w:rPr>
        <w:t>rp</w:t>
      </w:r>
      <w:r w:rsidRPr="00743426">
        <w:rPr>
          <w:rFonts w:ascii="Century Schoolbook" w:hAnsi="Century Schoolbook"/>
          <w:szCs w:val="24"/>
        </w:rPr>
        <w:t>ose</w:t>
      </w:r>
    </w:p>
    <w:p w:rsidR="00B9018F" w:rsidRPr="00743426" w:rsidRDefault="00B9018F" w:rsidP="00A661F8">
      <w:pPr>
        <w:spacing w:line="240" w:lineRule="auto"/>
        <w:rPr>
          <w:rFonts w:ascii="Century Schoolbook" w:hAnsi="Century Schoolbook"/>
          <w:sz w:val="24"/>
          <w:szCs w:val="24"/>
        </w:rPr>
      </w:pPr>
      <w:r w:rsidRPr="00743426">
        <w:rPr>
          <w:rFonts w:ascii="Century Schoolbook" w:hAnsi="Century Schoolbook"/>
          <w:sz w:val="24"/>
          <w:szCs w:val="24"/>
        </w:rPr>
        <w:t>This procedure provides instructions for testing nasopharyngeal swabs (NPS</w:t>
      </w:r>
      <w:r w:rsidR="00A500D8" w:rsidRPr="00743426">
        <w:rPr>
          <w:rFonts w:ascii="Century Schoolbook" w:hAnsi="Century Schoolbook"/>
          <w:sz w:val="24"/>
          <w:szCs w:val="24"/>
        </w:rPr>
        <w:t xml:space="preserve">) </w:t>
      </w:r>
      <w:r w:rsidR="00A500D8">
        <w:rPr>
          <w:rFonts w:ascii="Century Schoolbook" w:hAnsi="Century Schoolbook"/>
          <w:sz w:val="24"/>
          <w:szCs w:val="24"/>
        </w:rPr>
        <w:t>collected</w:t>
      </w:r>
      <w:r w:rsidR="007E658B">
        <w:rPr>
          <w:rFonts w:ascii="Century Schoolbook" w:hAnsi="Century Schoolbook"/>
          <w:sz w:val="24"/>
          <w:szCs w:val="24"/>
        </w:rPr>
        <w:t xml:space="preserve"> in transport media, </w:t>
      </w:r>
      <w:r w:rsidRPr="00743426">
        <w:rPr>
          <w:rFonts w:ascii="Century Schoolbook" w:hAnsi="Century Schoolbook"/>
          <w:sz w:val="24"/>
          <w:szCs w:val="24"/>
        </w:rPr>
        <w:t xml:space="preserve">using the </w:t>
      </w:r>
      <w:r w:rsidR="007E658B">
        <w:rPr>
          <w:rFonts w:ascii="Century Schoolbook" w:hAnsi="Century Schoolbook"/>
          <w:sz w:val="24"/>
          <w:szCs w:val="24"/>
        </w:rPr>
        <w:t>FilmArray®</w:t>
      </w:r>
      <w:r w:rsidRPr="00743426">
        <w:rPr>
          <w:rFonts w:ascii="Century Schoolbook" w:hAnsi="Century Schoolbook"/>
          <w:sz w:val="24"/>
          <w:szCs w:val="24"/>
        </w:rPr>
        <w:t xml:space="preserve"> </w:t>
      </w:r>
      <w:r w:rsidR="00B60672" w:rsidRPr="00743426">
        <w:rPr>
          <w:rFonts w:ascii="Century Schoolbook" w:hAnsi="Century Schoolbook"/>
          <w:sz w:val="24"/>
          <w:szCs w:val="24"/>
        </w:rPr>
        <w:t xml:space="preserve">Respiratory Panel </w:t>
      </w:r>
      <w:r w:rsidR="007E658B">
        <w:rPr>
          <w:rFonts w:ascii="Century Schoolbook" w:hAnsi="Century Schoolbook"/>
          <w:sz w:val="24"/>
          <w:szCs w:val="24"/>
        </w:rPr>
        <w:t xml:space="preserve">2 </w:t>
      </w:r>
      <w:r w:rsidR="00B60672" w:rsidRPr="00743426">
        <w:rPr>
          <w:rFonts w:ascii="Century Schoolbook" w:hAnsi="Century Schoolbook"/>
          <w:sz w:val="24"/>
          <w:szCs w:val="24"/>
        </w:rPr>
        <w:t>(</w:t>
      </w:r>
      <w:r w:rsidR="007E658B">
        <w:rPr>
          <w:rFonts w:ascii="Century Schoolbook" w:hAnsi="Century Schoolbook"/>
          <w:sz w:val="24"/>
          <w:szCs w:val="24"/>
        </w:rPr>
        <w:t>RP2</w:t>
      </w:r>
      <w:r w:rsidR="00B60672" w:rsidRPr="00743426">
        <w:rPr>
          <w:rFonts w:ascii="Century Schoolbook" w:hAnsi="Century Schoolbook"/>
          <w:sz w:val="24"/>
          <w:szCs w:val="24"/>
        </w:rPr>
        <w:t>)</w:t>
      </w:r>
      <w:r w:rsidRPr="00743426">
        <w:rPr>
          <w:rFonts w:ascii="Century Schoolbook" w:hAnsi="Century Schoolbook"/>
          <w:sz w:val="24"/>
          <w:szCs w:val="24"/>
        </w:rPr>
        <w:t xml:space="preserve"> Kit.</w:t>
      </w:r>
    </w:p>
    <w:p w:rsidR="00B9018F" w:rsidRPr="00743426" w:rsidRDefault="00B9018F" w:rsidP="00A661F8">
      <w:pPr>
        <w:pStyle w:val="Heading3"/>
        <w:pBdr>
          <w:bottom w:val="single" w:sz="4" w:space="0" w:color="auto"/>
        </w:pBdr>
        <w:rPr>
          <w:rFonts w:ascii="Century Schoolbook" w:hAnsi="Century Schoolbook"/>
          <w:szCs w:val="24"/>
        </w:rPr>
      </w:pPr>
      <w:r w:rsidRPr="00743426">
        <w:rPr>
          <w:rFonts w:ascii="Century Schoolbook" w:hAnsi="Century Schoolbook"/>
          <w:szCs w:val="24"/>
        </w:rPr>
        <w:t>Background</w:t>
      </w:r>
    </w:p>
    <w:p w:rsidR="007E658B" w:rsidRPr="007E658B" w:rsidRDefault="007E658B" w:rsidP="007E658B">
      <w:pPr>
        <w:rPr>
          <w:rFonts w:ascii="Century Schoolbook" w:hAnsi="Century Schoolbook"/>
          <w:sz w:val="24"/>
          <w:szCs w:val="24"/>
        </w:rPr>
      </w:pPr>
      <w:r w:rsidRPr="007E658B">
        <w:rPr>
          <w:rFonts w:ascii="Century Schoolbook" w:hAnsi="Century Schoolbook"/>
          <w:sz w:val="24"/>
          <w:szCs w:val="24"/>
        </w:rPr>
        <w:t>The FilmArray</w:t>
      </w:r>
      <w:r w:rsidRPr="007E658B">
        <w:rPr>
          <w:rFonts w:ascii="Century Schoolbook" w:hAnsi="Century Schoolbook" w:cs="Arial"/>
          <w:sz w:val="24"/>
          <w:szCs w:val="24"/>
          <w:vertAlign w:val="superscript"/>
        </w:rPr>
        <w:t>®</w:t>
      </w:r>
      <w:r w:rsidRPr="007E658B">
        <w:rPr>
          <w:rFonts w:ascii="Century Schoolbook" w:hAnsi="Century Schoolbook"/>
          <w:sz w:val="24"/>
          <w:szCs w:val="24"/>
        </w:rPr>
        <w:t xml:space="preserve"> Respiratory Panel 2 (RP2) is a multiplexed nucleic acid test intended for use with FilmArray</w:t>
      </w:r>
      <w:r w:rsidRPr="007E658B">
        <w:rPr>
          <w:rFonts w:ascii="Century Schoolbook" w:hAnsi="Century Schoolbook" w:cs="Arial"/>
          <w:sz w:val="24"/>
          <w:szCs w:val="24"/>
          <w:vertAlign w:val="superscript"/>
        </w:rPr>
        <w:t>®</w:t>
      </w:r>
      <w:r w:rsidRPr="007E658B">
        <w:rPr>
          <w:rFonts w:ascii="Century Schoolbook" w:hAnsi="Century Schoolbook"/>
          <w:sz w:val="24"/>
          <w:szCs w:val="24"/>
        </w:rPr>
        <w:t xml:space="preserve"> 2.0 or FilmArray</w:t>
      </w:r>
      <w:r w:rsidRPr="007E658B">
        <w:rPr>
          <w:rFonts w:ascii="Century Schoolbook" w:hAnsi="Century Schoolbook" w:cs="Arial"/>
          <w:sz w:val="24"/>
          <w:szCs w:val="24"/>
          <w:vertAlign w:val="superscript"/>
        </w:rPr>
        <w:t>®</w:t>
      </w:r>
      <w:r w:rsidRPr="007E658B">
        <w:rPr>
          <w:rFonts w:ascii="Century Schoolbook" w:hAnsi="Century Schoolbook"/>
          <w:sz w:val="24"/>
          <w:szCs w:val="24"/>
        </w:rPr>
        <w:t xml:space="preserve"> Torch systems for the simultaneous qualitative detection and identification of multiple respiratory viral and bacterial nucleic acids in nasopharyngeal swabs (NPS) obtained from individuals suspected of respiratory tract infections. The following organism types and subtypes are identified using the FilmArray RP2: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Adenovirus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Coronavirus 229E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Coronavirus HKU1</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Coronavirus NL63</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Coronavirus OC43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Human Metapneumovirus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Human Rhinovirus/Enterovirus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Influenza A, including subtypes H1, H1-2009, and H3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Influenza B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Parainfluenza Virus 1</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Parainfluenza Virus 2</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Parainfluenza Virus 3</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Parainfluenza Virus 4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sz w:val="24"/>
          <w:szCs w:val="24"/>
        </w:rPr>
        <w:t xml:space="preserve">Respiratory Syncytial Virus </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i/>
          <w:sz w:val="24"/>
          <w:szCs w:val="24"/>
        </w:rPr>
        <w:t>Bordetella parapertussis</w:t>
      </w:r>
      <w:r w:rsidRPr="007E658B">
        <w:rPr>
          <w:rFonts w:ascii="Century Schoolbook" w:hAnsi="Century Schoolbook"/>
          <w:sz w:val="24"/>
          <w:szCs w:val="24"/>
        </w:rPr>
        <w:t xml:space="preserve"> (IS</w:t>
      </w:r>
      <w:r w:rsidRPr="007E658B">
        <w:rPr>
          <w:rFonts w:ascii="Century Schoolbook" w:hAnsi="Century Schoolbook"/>
          <w:i/>
          <w:sz w:val="24"/>
          <w:szCs w:val="24"/>
        </w:rPr>
        <w:t>1001</w:t>
      </w:r>
      <w:r w:rsidRPr="007E658B">
        <w:rPr>
          <w:rFonts w:ascii="Century Schoolbook" w:hAnsi="Century Schoolbook"/>
          <w:sz w:val="24"/>
          <w:szCs w:val="24"/>
        </w:rPr>
        <w:t>)</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i/>
          <w:sz w:val="24"/>
          <w:szCs w:val="24"/>
        </w:rPr>
        <w:t>Bordetella pertussis</w:t>
      </w:r>
      <w:r w:rsidRPr="007E658B">
        <w:rPr>
          <w:rFonts w:ascii="Century Schoolbook" w:hAnsi="Century Schoolbook"/>
          <w:sz w:val="24"/>
          <w:szCs w:val="24"/>
        </w:rPr>
        <w:t xml:space="preserve"> (</w:t>
      </w:r>
      <w:r w:rsidRPr="007E658B">
        <w:rPr>
          <w:rFonts w:ascii="Century Schoolbook" w:hAnsi="Century Schoolbook"/>
          <w:i/>
          <w:sz w:val="24"/>
          <w:szCs w:val="24"/>
        </w:rPr>
        <w:t>ptxP</w:t>
      </w:r>
      <w:r w:rsidRPr="007E658B">
        <w:rPr>
          <w:rFonts w:ascii="Century Schoolbook" w:hAnsi="Century Schoolbook"/>
          <w:sz w:val="24"/>
          <w:szCs w:val="24"/>
        </w:rPr>
        <w:t>)</w:t>
      </w:r>
    </w:p>
    <w:p w:rsidR="007E658B" w:rsidRPr="007E658B" w:rsidRDefault="007E658B" w:rsidP="007E658B">
      <w:pPr>
        <w:pStyle w:val="ListParagraph"/>
        <w:numPr>
          <w:ilvl w:val="0"/>
          <w:numId w:val="23"/>
        </w:numPr>
        <w:spacing w:before="120" w:after="120"/>
        <w:jc w:val="both"/>
        <w:rPr>
          <w:rFonts w:ascii="Century Schoolbook" w:hAnsi="Century Schoolbook"/>
          <w:sz w:val="24"/>
          <w:szCs w:val="24"/>
        </w:rPr>
      </w:pPr>
      <w:r w:rsidRPr="007E658B">
        <w:rPr>
          <w:rFonts w:ascii="Century Schoolbook" w:hAnsi="Century Schoolbook"/>
          <w:i/>
          <w:sz w:val="24"/>
          <w:szCs w:val="24"/>
        </w:rPr>
        <w:t>Chlamydia pneumoniae</w:t>
      </w:r>
    </w:p>
    <w:p w:rsidR="007E658B" w:rsidRPr="007E658B" w:rsidRDefault="007E658B" w:rsidP="007E658B">
      <w:pPr>
        <w:pStyle w:val="ListParagraph"/>
        <w:numPr>
          <w:ilvl w:val="0"/>
          <w:numId w:val="23"/>
        </w:numPr>
        <w:spacing w:before="120" w:after="120"/>
        <w:jc w:val="both"/>
        <w:rPr>
          <w:rFonts w:ascii="Century" w:hAnsi="Century"/>
        </w:rPr>
      </w:pPr>
      <w:r w:rsidRPr="007E658B">
        <w:rPr>
          <w:rFonts w:ascii="Century Schoolbook" w:hAnsi="Century Schoolbook"/>
          <w:i/>
          <w:sz w:val="24"/>
          <w:szCs w:val="24"/>
        </w:rPr>
        <w:t>Mycoplasma pneumoniae</w:t>
      </w:r>
    </w:p>
    <w:p w:rsidR="00FF2054" w:rsidRPr="00743426" w:rsidRDefault="007E658B" w:rsidP="00A661F8">
      <w:pPr>
        <w:pStyle w:val="Heading3"/>
        <w:rPr>
          <w:rFonts w:ascii="Century Schoolbook" w:hAnsi="Century Schoolbook"/>
          <w:szCs w:val="24"/>
        </w:rPr>
      </w:pPr>
      <w:r>
        <w:rPr>
          <w:rFonts w:ascii="Century Schoolbook" w:hAnsi="Century Schoolbook"/>
          <w:szCs w:val="24"/>
        </w:rPr>
        <w:lastRenderedPageBreak/>
        <w:t>P</w:t>
      </w:r>
      <w:r w:rsidR="00FF2054" w:rsidRPr="00743426">
        <w:rPr>
          <w:rFonts w:ascii="Century Schoolbook" w:hAnsi="Century Schoolbook"/>
          <w:szCs w:val="24"/>
        </w:rPr>
        <w:t>rinciple of the Procedure</w:t>
      </w:r>
    </w:p>
    <w:p w:rsidR="007E658B" w:rsidRPr="007E658B" w:rsidRDefault="007E658B" w:rsidP="007E658B">
      <w:pPr>
        <w:rPr>
          <w:rFonts w:ascii="Century Schoolbook" w:hAnsi="Century Schoolbook"/>
          <w:sz w:val="24"/>
          <w:szCs w:val="24"/>
        </w:rPr>
      </w:pPr>
      <w:r w:rsidRPr="007E658B">
        <w:rPr>
          <w:rFonts w:ascii="Century Schoolbook" w:hAnsi="Century Schoolbook"/>
          <w:sz w:val="24"/>
          <w:szCs w:val="24"/>
        </w:rPr>
        <w:t xml:space="preserve">The FilmArray RP2 pouch is a closed system disposable that stores all the necessary reagents for sample preparation, reverse transcription, polymerase chain reaction (PCR), and detection in order to isolate, amplify, and detect nucleic acid from multiple respiratory </w:t>
      </w:r>
      <w:r w:rsidRPr="007E658B">
        <w:rPr>
          <w:rFonts w:ascii="Century Schoolbook" w:hAnsi="Century Schoolbook" w:cs="Arial"/>
          <w:sz w:val="24"/>
          <w:szCs w:val="24"/>
        </w:rPr>
        <w:t>pathogens</w:t>
      </w:r>
      <w:r w:rsidRPr="007E658B">
        <w:rPr>
          <w:rFonts w:ascii="Century Schoolbook" w:hAnsi="Century Schoolbook"/>
          <w:sz w:val="24"/>
          <w:szCs w:val="24"/>
        </w:rPr>
        <w:t xml:space="preserve"> within a single NPS specimen. After sample collection, the user injects hydration solution and sample combined with sample buffer into the pouch, places the pouch into a FilmArray instrument, and starts a run. The entire run process takes about 45 minutes. Additional detail can be found in the appropriate FilmArray Operator’s Manual.</w:t>
      </w:r>
    </w:p>
    <w:p w:rsidR="007E658B" w:rsidRPr="007E658B" w:rsidRDefault="007E658B" w:rsidP="007E658B">
      <w:pPr>
        <w:rPr>
          <w:rFonts w:ascii="Century Schoolbook" w:hAnsi="Century Schoolbook"/>
          <w:sz w:val="24"/>
          <w:szCs w:val="24"/>
        </w:rPr>
      </w:pPr>
      <w:r w:rsidRPr="007E658B">
        <w:rPr>
          <w:rFonts w:ascii="Century Schoolbook" w:hAnsi="Century Schoolbook"/>
          <w:sz w:val="24"/>
          <w:szCs w:val="24"/>
        </w:rPr>
        <w:t>During a run, the FilmArray</w:t>
      </w:r>
      <w:r w:rsidRPr="007E658B">
        <w:rPr>
          <w:rFonts w:ascii="Century Schoolbook" w:hAnsi="Century Schoolbook" w:cs="Arial"/>
          <w:sz w:val="24"/>
          <w:szCs w:val="24"/>
          <w:vertAlign w:val="superscript"/>
        </w:rPr>
        <w:t>®</w:t>
      </w:r>
      <w:r w:rsidRPr="007E658B">
        <w:rPr>
          <w:rFonts w:ascii="Century Schoolbook" w:hAnsi="Century Schoolbook"/>
          <w:sz w:val="24"/>
          <w:szCs w:val="24"/>
        </w:rPr>
        <w:t xml:space="preserve"> system:</w:t>
      </w:r>
    </w:p>
    <w:p w:rsidR="007E658B" w:rsidRPr="007E658B" w:rsidRDefault="007E658B" w:rsidP="007E658B">
      <w:pPr>
        <w:pStyle w:val="ListParagraph"/>
        <w:numPr>
          <w:ilvl w:val="0"/>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Lyses the sample by agitation (bead beading).</w:t>
      </w:r>
    </w:p>
    <w:p w:rsidR="007E658B" w:rsidRPr="007E658B" w:rsidRDefault="007E658B" w:rsidP="007E658B">
      <w:pPr>
        <w:pStyle w:val="ListParagraph"/>
        <w:numPr>
          <w:ilvl w:val="0"/>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Extracts and purifies all nucleic acids from the sample using magnetic bead technology.</w:t>
      </w:r>
    </w:p>
    <w:p w:rsidR="007E658B" w:rsidRPr="007E658B" w:rsidRDefault="007E658B" w:rsidP="007E658B">
      <w:pPr>
        <w:pStyle w:val="ListParagraph"/>
        <w:numPr>
          <w:ilvl w:val="0"/>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 xml:space="preserve">Performs nested multiplex PCR by: </w:t>
      </w:r>
    </w:p>
    <w:p w:rsidR="007E658B" w:rsidRPr="007E658B" w:rsidRDefault="007E658B" w:rsidP="007E658B">
      <w:pPr>
        <w:pStyle w:val="ListParagraph"/>
        <w:numPr>
          <w:ilvl w:val="1"/>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First performing reverse transcription and a single, large volume, massively-multiplexed reaction (PCR1)</w:t>
      </w:r>
    </w:p>
    <w:p w:rsidR="007E658B" w:rsidRPr="007E658B" w:rsidRDefault="007E658B" w:rsidP="007E658B">
      <w:pPr>
        <w:pStyle w:val="ListParagraph"/>
        <w:numPr>
          <w:ilvl w:val="1"/>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 xml:space="preserve">Then performing multiple singleplex second-stage PCR reactions (PCR2) to amplify sequences within the PCR1 products </w:t>
      </w:r>
    </w:p>
    <w:p w:rsidR="007E658B" w:rsidRDefault="007E658B" w:rsidP="007E658B">
      <w:pPr>
        <w:pStyle w:val="ListParagraph"/>
        <w:numPr>
          <w:ilvl w:val="0"/>
          <w:numId w:val="25"/>
        </w:numPr>
        <w:spacing w:before="120" w:after="120"/>
        <w:contextualSpacing w:val="0"/>
        <w:jc w:val="both"/>
        <w:rPr>
          <w:rFonts w:ascii="Century Schoolbook" w:hAnsi="Century Schoolbook"/>
          <w:sz w:val="24"/>
          <w:szCs w:val="24"/>
        </w:rPr>
      </w:pPr>
      <w:r w:rsidRPr="007E658B">
        <w:rPr>
          <w:rFonts w:ascii="Century Schoolbook" w:hAnsi="Century Schoolbook"/>
          <w:sz w:val="24"/>
          <w:szCs w:val="24"/>
        </w:rPr>
        <w:t>Uses endpoint melting curve data to detect and generate a result for each target on the FilmArray RP2 array.</w:t>
      </w:r>
    </w:p>
    <w:p w:rsidR="007E658B" w:rsidRDefault="007E658B"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Default="00CF12B7" w:rsidP="007E658B">
      <w:pPr>
        <w:spacing w:before="120" w:after="120"/>
        <w:jc w:val="both"/>
        <w:rPr>
          <w:rFonts w:ascii="Century Schoolbook" w:hAnsi="Century Schoolbook"/>
          <w:sz w:val="24"/>
          <w:szCs w:val="24"/>
        </w:rPr>
      </w:pPr>
    </w:p>
    <w:p w:rsidR="00CF12B7" w:rsidRPr="007E658B" w:rsidRDefault="00CF12B7" w:rsidP="007E658B">
      <w:pPr>
        <w:spacing w:before="120" w:after="120"/>
        <w:jc w:val="both"/>
        <w:rPr>
          <w:rFonts w:ascii="Century Schoolbook" w:hAnsi="Century Schoolbook"/>
          <w:sz w:val="24"/>
          <w:szCs w:val="24"/>
        </w:rPr>
      </w:pPr>
    </w:p>
    <w:p w:rsidR="00B9018F" w:rsidRPr="00743426" w:rsidRDefault="007E658B" w:rsidP="00A661F8">
      <w:pPr>
        <w:pStyle w:val="Heading3"/>
        <w:rPr>
          <w:rFonts w:ascii="Century Schoolbook" w:hAnsi="Century Schoolbook"/>
          <w:szCs w:val="24"/>
        </w:rPr>
      </w:pPr>
      <w:r>
        <w:rPr>
          <w:rFonts w:ascii="Century Schoolbook" w:hAnsi="Century Schoolbook"/>
          <w:szCs w:val="24"/>
        </w:rPr>
        <w:lastRenderedPageBreak/>
        <w:t xml:space="preserve">Sample Requirements </w:t>
      </w:r>
    </w:p>
    <w:p w:rsidR="007E658B" w:rsidRPr="00CF12B7" w:rsidRDefault="007E658B" w:rsidP="007E658B">
      <w:pPr>
        <w:rPr>
          <w:rFonts w:ascii="Century Schoolbook" w:hAnsi="Century Schoolbook"/>
          <w:sz w:val="24"/>
          <w:szCs w:val="24"/>
        </w:rPr>
      </w:pPr>
      <w:r w:rsidRPr="00CF12B7">
        <w:rPr>
          <w:rFonts w:ascii="Century Schoolbook" w:hAnsi="Century Schoolbook"/>
          <w:sz w:val="24"/>
          <w:szCs w:val="24"/>
        </w:rPr>
        <w:t>The following table describes the requirements for specimen collection, preparation, and handling that will help ensure accurate test results.</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94"/>
        <w:gridCol w:w="6736"/>
      </w:tblGrid>
      <w:tr w:rsidR="007E658B" w:rsidRPr="007F11A8" w:rsidTr="00647CF8">
        <w:trPr>
          <w:trHeight w:val="510"/>
        </w:trPr>
        <w:tc>
          <w:tcPr>
            <w:tcW w:w="2965" w:type="dxa"/>
            <w:shd w:val="clear" w:color="auto" w:fill="8A1F03"/>
            <w:vAlign w:val="center"/>
          </w:tcPr>
          <w:p w:rsidR="007E658B" w:rsidRPr="007F11A8" w:rsidRDefault="007E658B" w:rsidP="00647CF8">
            <w:pPr>
              <w:rPr>
                <w:b/>
                <w:sz w:val="18"/>
                <w:szCs w:val="18"/>
              </w:rPr>
            </w:pPr>
            <w:r w:rsidRPr="007F11A8">
              <w:rPr>
                <w:b/>
                <w:color w:val="FFFFFF" w:themeColor="background1"/>
                <w:sz w:val="18"/>
                <w:szCs w:val="18"/>
              </w:rPr>
              <w:t>Specimen  Type</w:t>
            </w:r>
          </w:p>
        </w:tc>
        <w:tc>
          <w:tcPr>
            <w:tcW w:w="7825" w:type="dxa"/>
            <w:vAlign w:val="center"/>
          </w:tcPr>
          <w:p w:rsidR="007E658B" w:rsidRPr="007F11A8" w:rsidRDefault="007E658B" w:rsidP="00647CF8">
            <w:pPr>
              <w:rPr>
                <w:sz w:val="18"/>
                <w:szCs w:val="18"/>
              </w:rPr>
            </w:pPr>
            <w:r w:rsidRPr="007F11A8">
              <w:rPr>
                <w:b/>
                <w:sz w:val="18"/>
                <w:szCs w:val="18"/>
              </w:rPr>
              <w:t>Nasopharyngeal Swab</w:t>
            </w:r>
            <w:r w:rsidRPr="007F11A8">
              <w:rPr>
                <w:sz w:val="18"/>
                <w:szCs w:val="18"/>
              </w:rPr>
              <w:t xml:space="preserve"> (NPS) </w:t>
            </w:r>
            <w:r w:rsidRPr="007F11A8">
              <w:rPr>
                <w:bCs/>
                <w:spacing w:val="4"/>
                <w:sz w:val="18"/>
                <w:szCs w:val="18"/>
              </w:rPr>
              <w:t>collected according to standard tech</w:t>
            </w:r>
            <w:r>
              <w:rPr>
                <w:bCs/>
                <w:spacing w:val="4"/>
                <w:sz w:val="18"/>
                <w:szCs w:val="18"/>
              </w:rPr>
              <w:t xml:space="preserve">nique and immediately placed in 1-3 mL of </w:t>
            </w:r>
            <w:r w:rsidRPr="007F11A8">
              <w:rPr>
                <w:bCs/>
                <w:spacing w:val="4"/>
                <w:sz w:val="18"/>
                <w:szCs w:val="18"/>
              </w:rPr>
              <w:t xml:space="preserve">transport media </w:t>
            </w:r>
          </w:p>
        </w:tc>
      </w:tr>
      <w:tr w:rsidR="007E658B" w:rsidRPr="007F11A8" w:rsidTr="00647CF8">
        <w:trPr>
          <w:trHeight w:val="510"/>
        </w:trPr>
        <w:tc>
          <w:tcPr>
            <w:tcW w:w="2965" w:type="dxa"/>
            <w:shd w:val="clear" w:color="auto" w:fill="8A1F03"/>
            <w:vAlign w:val="center"/>
          </w:tcPr>
          <w:p w:rsidR="007E658B" w:rsidRPr="007F11A8" w:rsidRDefault="007E658B" w:rsidP="00647CF8">
            <w:pPr>
              <w:rPr>
                <w:sz w:val="18"/>
                <w:szCs w:val="18"/>
              </w:rPr>
            </w:pPr>
            <w:r w:rsidRPr="007F11A8">
              <w:rPr>
                <w:b/>
                <w:color w:val="FFFFFF" w:themeColor="background1"/>
                <w:sz w:val="18"/>
                <w:szCs w:val="18"/>
              </w:rPr>
              <w:t>Minimum Sample Volume</w:t>
            </w:r>
          </w:p>
        </w:tc>
        <w:tc>
          <w:tcPr>
            <w:tcW w:w="7825" w:type="dxa"/>
            <w:vAlign w:val="center"/>
          </w:tcPr>
          <w:p w:rsidR="007E658B" w:rsidRPr="007F11A8" w:rsidRDefault="007E658B" w:rsidP="00647CF8">
            <w:pPr>
              <w:rPr>
                <w:sz w:val="18"/>
                <w:szCs w:val="18"/>
              </w:rPr>
            </w:pPr>
            <w:r w:rsidRPr="007F11A8">
              <w:rPr>
                <w:sz w:val="18"/>
                <w:szCs w:val="18"/>
              </w:rPr>
              <w:t>0.3 mL (</w:t>
            </w:r>
            <w:r w:rsidRPr="007F11A8">
              <w:rPr>
                <w:spacing w:val="2"/>
                <w:sz w:val="18"/>
                <w:szCs w:val="18"/>
              </w:rPr>
              <w:t>300 µL)</w:t>
            </w:r>
          </w:p>
        </w:tc>
      </w:tr>
      <w:tr w:rsidR="007E658B" w:rsidRPr="007F11A8" w:rsidTr="00647CF8">
        <w:trPr>
          <w:trHeight w:val="510"/>
        </w:trPr>
        <w:tc>
          <w:tcPr>
            <w:tcW w:w="2965" w:type="dxa"/>
            <w:shd w:val="clear" w:color="auto" w:fill="8A1F03"/>
            <w:vAlign w:val="center"/>
          </w:tcPr>
          <w:p w:rsidR="007E658B" w:rsidRPr="007F11A8" w:rsidRDefault="007E658B" w:rsidP="00647CF8">
            <w:pPr>
              <w:rPr>
                <w:sz w:val="18"/>
                <w:szCs w:val="18"/>
              </w:rPr>
            </w:pPr>
            <w:r w:rsidRPr="007F11A8">
              <w:rPr>
                <w:b/>
                <w:color w:val="FFFFFF" w:themeColor="background1"/>
                <w:sz w:val="18"/>
                <w:szCs w:val="18"/>
              </w:rPr>
              <w:t>Transport and Storage</w:t>
            </w:r>
          </w:p>
        </w:tc>
        <w:tc>
          <w:tcPr>
            <w:tcW w:w="7825" w:type="dxa"/>
            <w:vAlign w:val="center"/>
          </w:tcPr>
          <w:p w:rsidR="007E658B" w:rsidRDefault="007E658B" w:rsidP="00647CF8">
            <w:pPr>
              <w:rPr>
                <w:spacing w:val="3"/>
                <w:sz w:val="18"/>
                <w:szCs w:val="18"/>
              </w:rPr>
            </w:pPr>
            <w:r w:rsidRPr="007F11A8">
              <w:rPr>
                <w:sz w:val="18"/>
                <w:szCs w:val="18"/>
              </w:rPr>
              <w:t>S</w:t>
            </w:r>
            <w:r>
              <w:rPr>
                <w:sz w:val="18"/>
                <w:szCs w:val="18"/>
              </w:rPr>
              <w:t xml:space="preserve">pecimens </w:t>
            </w:r>
            <w:r w:rsidRPr="007F11A8">
              <w:rPr>
                <w:spacing w:val="3"/>
                <w:sz w:val="18"/>
                <w:szCs w:val="18"/>
              </w:rPr>
              <w:t xml:space="preserve">should be processed and tested with the FilmArray RP2 as soon as possible. </w:t>
            </w:r>
          </w:p>
          <w:p w:rsidR="007E658B" w:rsidRPr="007F11A8" w:rsidRDefault="007E658B" w:rsidP="00647CF8">
            <w:pPr>
              <w:rPr>
                <w:spacing w:val="3"/>
                <w:sz w:val="18"/>
                <w:szCs w:val="18"/>
              </w:rPr>
            </w:pPr>
            <w:r w:rsidRPr="007F11A8">
              <w:rPr>
                <w:spacing w:val="3"/>
                <w:sz w:val="18"/>
                <w:szCs w:val="18"/>
              </w:rPr>
              <w:t>If storage is required, specimens can be held:</w:t>
            </w:r>
          </w:p>
          <w:p w:rsidR="007E658B" w:rsidRPr="00DD252C" w:rsidRDefault="007E658B" w:rsidP="007E658B">
            <w:pPr>
              <w:pStyle w:val="ListParagraph"/>
              <w:numPr>
                <w:ilvl w:val="0"/>
                <w:numId w:val="26"/>
              </w:numPr>
              <w:spacing w:before="120" w:after="120" w:line="276" w:lineRule="auto"/>
              <w:contextualSpacing w:val="0"/>
              <w:rPr>
                <w:sz w:val="18"/>
                <w:szCs w:val="18"/>
              </w:rPr>
            </w:pPr>
            <w:r w:rsidRPr="007F11A8">
              <w:rPr>
                <w:spacing w:val="3"/>
                <w:sz w:val="18"/>
                <w:szCs w:val="18"/>
              </w:rPr>
              <w:t>At room temperature for up to 4 hours</w:t>
            </w:r>
            <w:r>
              <w:rPr>
                <w:spacing w:val="3"/>
                <w:sz w:val="18"/>
                <w:szCs w:val="18"/>
              </w:rPr>
              <w:t xml:space="preserve"> </w:t>
            </w:r>
            <w:r w:rsidRPr="00DD252C">
              <w:rPr>
                <w:spacing w:val="3"/>
                <w:sz w:val="18"/>
                <w:szCs w:val="18"/>
              </w:rPr>
              <w:t>(</w:t>
            </w:r>
            <w:r w:rsidRPr="007A2295">
              <w:rPr>
                <w:spacing w:val="3"/>
                <w:sz w:val="18"/>
                <w:szCs w:val="18"/>
              </w:rPr>
              <w:t>15-25 °C</w:t>
            </w:r>
            <w:r w:rsidRPr="00DD252C">
              <w:rPr>
                <w:spacing w:val="3"/>
                <w:sz w:val="18"/>
                <w:szCs w:val="18"/>
              </w:rPr>
              <w:t>)</w:t>
            </w:r>
          </w:p>
          <w:p w:rsidR="007E658B" w:rsidRPr="00DD252C" w:rsidRDefault="007E658B" w:rsidP="007E658B">
            <w:pPr>
              <w:pStyle w:val="ListParagraph"/>
              <w:numPr>
                <w:ilvl w:val="0"/>
                <w:numId w:val="26"/>
              </w:numPr>
              <w:spacing w:before="120" w:after="120" w:line="276" w:lineRule="auto"/>
              <w:contextualSpacing w:val="0"/>
              <w:rPr>
                <w:sz w:val="18"/>
                <w:szCs w:val="18"/>
              </w:rPr>
            </w:pPr>
            <w:r>
              <w:rPr>
                <w:spacing w:val="3"/>
                <w:sz w:val="18"/>
                <w:szCs w:val="18"/>
              </w:rPr>
              <w:t>Refrigerated</w:t>
            </w:r>
            <w:r w:rsidRPr="007F11A8">
              <w:rPr>
                <w:spacing w:val="3"/>
                <w:sz w:val="18"/>
                <w:szCs w:val="18"/>
              </w:rPr>
              <w:t xml:space="preserve"> for up to 3 days</w:t>
            </w:r>
            <w:r>
              <w:rPr>
                <w:spacing w:val="3"/>
                <w:sz w:val="18"/>
                <w:szCs w:val="18"/>
              </w:rPr>
              <w:t xml:space="preserve"> </w:t>
            </w:r>
            <w:r w:rsidRPr="00DD252C">
              <w:rPr>
                <w:spacing w:val="3"/>
                <w:sz w:val="18"/>
                <w:szCs w:val="18"/>
              </w:rPr>
              <w:t>(</w:t>
            </w:r>
            <w:r w:rsidRPr="007A2295">
              <w:rPr>
                <w:spacing w:val="3"/>
                <w:sz w:val="18"/>
                <w:szCs w:val="18"/>
              </w:rPr>
              <w:t>2-8 °C</w:t>
            </w:r>
            <w:r w:rsidRPr="00DD252C">
              <w:rPr>
                <w:spacing w:val="3"/>
                <w:sz w:val="18"/>
                <w:szCs w:val="18"/>
              </w:rPr>
              <w:t>)</w:t>
            </w:r>
          </w:p>
          <w:p w:rsidR="007E658B" w:rsidRPr="00AF1533" w:rsidRDefault="007E658B" w:rsidP="007E658B">
            <w:pPr>
              <w:pStyle w:val="ListParagraph"/>
              <w:numPr>
                <w:ilvl w:val="0"/>
                <w:numId w:val="26"/>
              </w:numPr>
              <w:spacing w:before="120" w:after="120" w:line="276" w:lineRule="auto"/>
              <w:contextualSpacing w:val="0"/>
              <w:rPr>
                <w:sz w:val="18"/>
                <w:szCs w:val="18"/>
              </w:rPr>
            </w:pPr>
            <w:r>
              <w:rPr>
                <w:spacing w:val="3"/>
                <w:sz w:val="18"/>
                <w:szCs w:val="18"/>
              </w:rPr>
              <w:t>Frozen</w:t>
            </w:r>
            <w:r w:rsidRPr="007F11A8">
              <w:rPr>
                <w:spacing w:val="3"/>
                <w:sz w:val="18"/>
                <w:szCs w:val="18"/>
              </w:rPr>
              <w:t xml:space="preserve"> </w:t>
            </w:r>
            <w:r>
              <w:rPr>
                <w:spacing w:val="3"/>
                <w:sz w:val="18"/>
                <w:szCs w:val="18"/>
              </w:rPr>
              <w:t>(</w:t>
            </w:r>
            <w:r>
              <w:rPr>
                <w:rFonts w:cs="Arial"/>
                <w:spacing w:val="3"/>
                <w:sz w:val="18"/>
                <w:szCs w:val="18"/>
              </w:rPr>
              <w:t>≤</w:t>
            </w:r>
            <w:r w:rsidRPr="007F11A8">
              <w:rPr>
                <w:spacing w:val="3"/>
                <w:sz w:val="18"/>
                <w:szCs w:val="18"/>
              </w:rPr>
              <w:t>-15 °C</w:t>
            </w:r>
            <w:r>
              <w:rPr>
                <w:spacing w:val="3"/>
                <w:sz w:val="18"/>
                <w:szCs w:val="18"/>
              </w:rPr>
              <w:t xml:space="preserve"> or </w:t>
            </w:r>
            <w:r>
              <w:rPr>
                <w:rFonts w:cs="Arial"/>
                <w:spacing w:val="3"/>
                <w:sz w:val="18"/>
                <w:szCs w:val="18"/>
              </w:rPr>
              <w:t>≤</w:t>
            </w:r>
            <w:r>
              <w:rPr>
                <w:spacing w:val="3"/>
                <w:sz w:val="18"/>
                <w:szCs w:val="18"/>
              </w:rPr>
              <w:t>-70</w:t>
            </w:r>
            <w:r w:rsidRPr="007F11A8">
              <w:rPr>
                <w:spacing w:val="3"/>
                <w:sz w:val="18"/>
                <w:szCs w:val="18"/>
              </w:rPr>
              <w:t>°C)</w:t>
            </w:r>
            <w:r>
              <w:rPr>
                <w:spacing w:val="3"/>
                <w:sz w:val="18"/>
                <w:szCs w:val="18"/>
              </w:rPr>
              <w:t xml:space="preserve"> (for up to 30 days)</w:t>
            </w:r>
            <w:r w:rsidRPr="007F11A8">
              <w:rPr>
                <w:spacing w:val="3"/>
                <w:sz w:val="18"/>
                <w:szCs w:val="18"/>
              </w:rPr>
              <w:t xml:space="preserve"> </w:t>
            </w:r>
          </w:p>
        </w:tc>
      </w:tr>
    </w:tbl>
    <w:p w:rsidR="007E658B" w:rsidRDefault="007E658B" w:rsidP="007E658B">
      <w:pPr>
        <w:rPr>
          <w:b/>
          <w:i/>
        </w:rPr>
      </w:pPr>
      <w:r>
        <w:rPr>
          <w:noProof/>
        </w:rPr>
        <w:drawing>
          <wp:inline distT="0" distB="0" distL="0" distR="0" wp14:anchorId="05535FB2" wp14:editId="6A8AD640">
            <wp:extent cx="227965" cy="236963"/>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2D5CBA">
        <w:rPr>
          <w:b/>
          <w:i/>
        </w:rPr>
        <w:t xml:space="preserve">NOTE: </w:t>
      </w:r>
      <w:r>
        <w:rPr>
          <w:b/>
          <w:i/>
        </w:rPr>
        <w:t>NPS specimens should not be centrifuged before testing</w:t>
      </w:r>
      <w:r w:rsidRPr="002D5CBA">
        <w:rPr>
          <w:b/>
          <w:i/>
        </w:rPr>
        <w:t>.</w:t>
      </w:r>
    </w:p>
    <w:p w:rsidR="007E658B" w:rsidRPr="002D5CBA" w:rsidRDefault="007E658B" w:rsidP="007E658B">
      <w:pPr>
        <w:rPr>
          <w:b/>
          <w:i/>
        </w:rPr>
      </w:pPr>
      <w:r>
        <w:rPr>
          <w:noProof/>
        </w:rPr>
        <w:drawing>
          <wp:inline distT="0" distB="0" distL="0" distR="0" wp14:anchorId="6B4A43FE" wp14:editId="1B1F52F3">
            <wp:extent cx="227965" cy="236963"/>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2D5CBA">
        <w:rPr>
          <w:b/>
          <w:i/>
        </w:rPr>
        <w:t xml:space="preserve">NOTE: </w:t>
      </w:r>
      <w:r>
        <w:rPr>
          <w:b/>
          <w:i/>
        </w:rPr>
        <w:t>Bleach can damage organisms/nucleic acids within the specimen, potentially causing false negative results. Contact between bleach and specimens during collection, disinfection, and testing procedures should be avoided</w:t>
      </w:r>
      <w:r w:rsidRPr="002D5CBA">
        <w:rPr>
          <w:b/>
          <w:i/>
        </w:rPr>
        <w:t>.</w:t>
      </w:r>
      <w:r>
        <w:rPr>
          <w:b/>
          <w:i/>
        </w:rPr>
        <w:t xml:space="preserve"> </w:t>
      </w:r>
    </w:p>
    <w:p w:rsidR="007E658B" w:rsidRDefault="007E658B" w:rsidP="00A661F8">
      <w:pPr>
        <w:pStyle w:val="Heading3"/>
        <w:rPr>
          <w:rFonts w:ascii="Century Schoolbook" w:hAnsi="Century Schoolbook"/>
          <w:szCs w:val="24"/>
        </w:rPr>
      </w:pPr>
    </w:p>
    <w:p w:rsidR="007E658B" w:rsidRDefault="007E658B" w:rsidP="00A661F8">
      <w:pPr>
        <w:pStyle w:val="Heading3"/>
        <w:rPr>
          <w:rFonts w:ascii="Century Schoolbook" w:hAnsi="Century Schoolbook"/>
          <w:szCs w:val="24"/>
        </w:rPr>
      </w:pPr>
    </w:p>
    <w:p w:rsidR="00B9018F" w:rsidRPr="00743426" w:rsidRDefault="00653952" w:rsidP="00A661F8">
      <w:pPr>
        <w:pStyle w:val="Heading3"/>
        <w:rPr>
          <w:rFonts w:ascii="Century Schoolbook" w:hAnsi="Century Schoolbook"/>
          <w:szCs w:val="24"/>
        </w:rPr>
      </w:pPr>
      <w:r w:rsidRPr="00743426">
        <w:rPr>
          <w:rFonts w:ascii="Century Schoolbook" w:hAnsi="Century Schoolbook"/>
          <w:szCs w:val="24"/>
        </w:rPr>
        <w:t>Materials</w:t>
      </w:r>
    </w:p>
    <w:tbl>
      <w:tblPr>
        <w:tblStyle w:val="TableGrid"/>
        <w:tblW w:w="10080" w:type="dxa"/>
        <w:tblInd w:w="-342" w:type="dxa"/>
        <w:tblLook w:val="04A0" w:firstRow="1" w:lastRow="0" w:firstColumn="1" w:lastColumn="0" w:noHBand="0" w:noVBand="1"/>
      </w:tblPr>
      <w:tblGrid>
        <w:gridCol w:w="5315"/>
        <w:gridCol w:w="4765"/>
      </w:tblGrid>
      <w:tr w:rsidR="00DF7A17" w:rsidRPr="00743426" w:rsidTr="00DF7A17">
        <w:tc>
          <w:tcPr>
            <w:tcW w:w="5315" w:type="dxa"/>
            <w:shd w:val="clear" w:color="auto" w:fill="D9D9D9" w:themeFill="background1" w:themeFillShade="D9"/>
          </w:tcPr>
          <w:p w:rsidR="00DF7A17" w:rsidRPr="00821339" w:rsidRDefault="00DF7A17" w:rsidP="00DF7A17">
            <w:pPr>
              <w:rPr>
                <w:rFonts w:ascii="Century Schoolbook" w:hAnsi="Century Schoolbook"/>
                <w:b/>
              </w:rPr>
            </w:pPr>
            <w:r w:rsidRPr="00821339">
              <w:rPr>
                <w:rFonts w:ascii="Century Schoolbook" w:hAnsi="Century Schoolbook"/>
                <w:b/>
              </w:rPr>
              <w:t>Materials Provided</w:t>
            </w:r>
          </w:p>
        </w:tc>
        <w:tc>
          <w:tcPr>
            <w:tcW w:w="4765" w:type="dxa"/>
            <w:shd w:val="clear" w:color="auto" w:fill="D9D9D9" w:themeFill="background1" w:themeFillShade="D9"/>
          </w:tcPr>
          <w:p w:rsidR="00DF7A17" w:rsidRPr="00DF7A17" w:rsidRDefault="00DF7A17" w:rsidP="00DF7A17">
            <w:pPr>
              <w:rPr>
                <w:rFonts w:ascii="Century Schoolbook" w:hAnsi="Century Schoolbook"/>
                <w:b/>
              </w:rPr>
            </w:pPr>
            <w:r w:rsidRPr="00DF7A17">
              <w:rPr>
                <w:rFonts w:ascii="Century Schoolbook" w:hAnsi="Century Schoolbook"/>
                <w:b/>
              </w:rPr>
              <w:t>Materials Required But Not Provided</w:t>
            </w:r>
          </w:p>
        </w:tc>
      </w:tr>
      <w:tr w:rsidR="00DF7A17" w:rsidRPr="00743426" w:rsidTr="00DF7A17">
        <w:tc>
          <w:tcPr>
            <w:tcW w:w="5315" w:type="dxa"/>
          </w:tcPr>
          <w:p w:rsidR="00DF7A17" w:rsidRPr="00CF12B7" w:rsidRDefault="00DF7A17" w:rsidP="00DF7A17">
            <w:pPr>
              <w:pStyle w:val="sectionheadings-big"/>
              <w:spacing w:line="240" w:lineRule="auto"/>
              <w:rPr>
                <w:rFonts w:ascii="Century Schoolbook" w:hAnsi="Century Schoolbook" w:cs="Times New Roman"/>
                <w:b w:val="0"/>
                <w:color w:val="000000"/>
                <w:sz w:val="20"/>
                <w:szCs w:val="20"/>
              </w:rPr>
            </w:pPr>
            <w:r w:rsidRPr="00CF12B7">
              <w:rPr>
                <w:rFonts w:ascii="Century Schoolbook" w:hAnsi="Century Schoolbook" w:cs="Times New Roman"/>
                <w:b w:val="0"/>
                <w:color w:val="000000"/>
                <w:sz w:val="20"/>
                <w:szCs w:val="20"/>
              </w:rPr>
              <w:t>Each kit contains sufficient reagents to test 30 or 6 specimens:</w:t>
            </w:r>
          </w:p>
          <w:p w:rsidR="00CF12B7" w:rsidRPr="00CF12B7" w:rsidRDefault="00CF12B7" w:rsidP="00CF12B7">
            <w:pPr>
              <w:pStyle w:val="ListParagraph"/>
              <w:numPr>
                <w:ilvl w:val="0"/>
                <w:numId w:val="9"/>
              </w:numPr>
              <w:spacing w:before="120"/>
              <w:contextualSpacing w:val="0"/>
              <w:jc w:val="both"/>
              <w:rPr>
                <w:rFonts w:ascii="Century Schoolbook" w:hAnsi="Century Schoolbook"/>
              </w:rPr>
            </w:pPr>
            <w:r w:rsidRPr="00CF12B7">
              <w:rPr>
                <w:rFonts w:ascii="Century Schoolbook" w:hAnsi="Century Schoolbook"/>
              </w:rPr>
              <w:t>Individually-packaged FilmArray RP2 pouches</w:t>
            </w:r>
          </w:p>
          <w:p w:rsidR="00CF12B7" w:rsidRPr="00CF12B7" w:rsidRDefault="00CF12B7" w:rsidP="00CF12B7">
            <w:pPr>
              <w:pStyle w:val="ListParagraph"/>
              <w:numPr>
                <w:ilvl w:val="0"/>
                <w:numId w:val="9"/>
              </w:numPr>
              <w:spacing w:before="120"/>
              <w:contextualSpacing w:val="0"/>
              <w:jc w:val="both"/>
              <w:rPr>
                <w:rFonts w:ascii="Century Schoolbook" w:hAnsi="Century Schoolbook"/>
              </w:rPr>
            </w:pPr>
            <w:r w:rsidRPr="00CF12B7">
              <w:rPr>
                <w:rFonts w:ascii="Century Schoolbook" w:hAnsi="Century Schoolbook"/>
              </w:rPr>
              <w:t>Single-use (1.0 mL) Sample Buffer ampoules</w:t>
            </w:r>
          </w:p>
          <w:p w:rsidR="00CF12B7" w:rsidRPr="00CF12B7" w:rsidRDefault="00CF12B7" w:rsidP="00CF12B7">
            <w:pPr>
              <w:pStyle w:val="ListParagraph"/>
              <w:numPr>
                <w:ilvl w:val="0"/>
                <w:numId w:val="9"/>
              </w:numPr>
              <w:spacing w:before="120"/>
              <w:contextualSpacing w:val="0"/>
              <w:jc w:val="both"/>
              <w:rPr>
                <w:rFonts w:ascii="Century Schoolbook" w:hAnsi="Century Schoolbook"/>
              </w:rPr>
            </w:pPr>
            <w:r w:rsidRPr="00CF12B7">
              <w:rPr>
                <w:rFonts w:ascii="Century Schoolbook" w:hAnsi="Century Schoolbook"/>
              </w:rPr>
              <w:t>Single-use pre-filled (1.5 mL) Hydration Injection Vials (</w:t>
            </w:r>
            <w:r w:rsidRPr="00CF12B7">
              <w:rPr>
                <w:rFonts w:ascii="Century Schoolbook" w:hAnsi="Century Schoolbook"/>
                <w:color w:val="0070C0"/>
              </w:rPr>
              <w:t>blue</w:t>
            </w:r>
            <w:r w:rsidRPr="00CF12B7">
              <w:rPr>
                <w:rFonts w:ascii="Century Schoolbook" w:hAnsi="Century Schoolbook"/>
              </w:rPr>
              <w:t>)</w:t>
            </w:r>
          </w:p>
          <w:p w:rsidR="00CF12B7" w:rsidRPr="00CF12B7" w:rsidRDefault="00CF12B7" w:rsidP="00CF12B7">
            <w:pPr>
              <w:pStyle w:val="ListParagraph"/>
              <w:numPr>
                <w:ilvl w:val="0"/>
                <w:numId w:val="9"/>
              </w:numPr>
              <w:spacing w:before="120"/>
              <w:contextualSpacing w:val="0"/>
              <w:jc w:val="both"/>
              <w:rPr>
                <w:rFonts w:ascii="Century Schoolbook" w:hAnsi="Century Schoolbook"/>
              </w:rPr>
            </w:pPr>
            <w:r w:rsidRPr="00CF12B7">
              <w:rPr>
                <w:rFonts w:ascii="Century Schoolbook" w:hAnsi="Century Schoolbook"/>
              </w:rPr>
              <w:t>Single-use Sample Injection Vials (</w:t>
            </w:r>
            <w:r w:rsidRPr="00CF12B7">
              <w:rPr>
                <w:rFonts w:ascii="Century Schoolbook" w:hAnsi="Century Schoolbook"/>
                <w:color w:val="C00000"/>
              </w:rPr>
              <w:t>red</w:t>
            </w:r>
            <w:r w:rsidRPr="00CF12B7">
              <w:rPr>
                <w:rFonts w:ascii="Century Schoolbook" w:hAnsi="Century Schoolbook"/>
              </w:rPr>
              <w:t>)</w:t>
            </w:r>
          </w:p>
          <w:p w:rsidR="00CF12B7" w:rsidRPr="00CF12B7" w:rsidRDefault="00CF12B7" w:rsidP="00CF12B7">
            <w:pPr>
              <w:pStyle w:val="ListParagraph"/>
              <w:numPr>
                <w:ilvl w:val="0"/>
                <w:numId w:val="9"/>
              </w:numPr>
              <w:spacing w:before="120"/>
              <w:contextualSpacing w:val="0"/>
              <w:jc w:val="both"/>
              <w:rPr>
                <w:rFonts w:ascii="Century Schoolbook" w:hAnsi="Century Schoolbook"/>
              </w:rPr>
            </w:pPr>
            <w:r w:rsidRPr="00CF12B7">
              <w:rPr>
                <w:rFonts w:ascii="Century Schoolbook" w:hAnsi="Century Schoolbook"/>
              </w:rPr>
              <w:t>Individually-packaged Transfer Pipettes</w:t>
            </w:r>
          </w:p>
          <w:p w:rsidR="00DF7A17" w:rsidRPr="00821339" w:rsidRDefault="00DF7A17" w:rsidP="00CF12B7">
            <w:pPr>
              <w:pStyle w:val="sectionheadings-big"/>
              <w:spacing w:line="240" w:lineRule="auto"/>
              <w:rPr>
                <w:rFonts w:ascii="Century Schoolbook" w:hAnsi="Century Schoolbook" w:cs="Times New Roman"/>
                <w:b w:val="0"/>
                <w:color w:val="auto"/>
                <w:sz w:val="20"/>
                <w:szCs w:val="20"/>
              </w:rPr>
            </w:pPr>
          </w:p>
        </w:tc>
        <w:tc>
          <w:tcPr>
            <w:tcW w:w="4765" w:type="dxa"/>
          </w:tcPr>
          <w:p w:rsidR="00CF12B7" w:rsidRPr="00CF12B7" w:rsidRDefault="00CF12B7" w:rsidP="00CF12B7">
            <w:pPr>
              <w:spacing w:before="120" w:after="120"/>
              <w:rPr>
                <w:rFonts w:ascii="Century Schoolbook" w:hAnsi="Century Schoolbook"/>
              </w:rPr>
            </w:pPr>
            <w:r w:rsidRPr="00CF12B7">
              <w:rPr>
                <w:rFonts w:ascii="Century Schoolbook" w:hAnsi="Century Schoolbook"/>
              </w:rPr>
              <w:t>FilmArray system including:</w:t>
            </w:r>
          </w:p>
          <w:p w:rsidR="00CF12B7" w:rsidRDefault="00CF12B7" w:rsidP="00CF12B7">
            <w:pPr>
              <w:pStyle w:val="ListParagraph"/>
              <w:numPr>
                <w:ilvl w:val="0"/>
                <w:numId w:val="9"/>
              </w:numPr>
              <w:spacing w:before="120" w:after="120"/>
              <w:rPr>
                <w:rFonts w:ascii="Century Schoolbook" w:hAnsi="Century Schoolbook"/>
              </w:rPr>
            </w:pPr>
            <w:r w:rsidRPr="00CF12B7">
              <w:rPr>
                <w:rFonts w:ascii="Century Schoolbook" w:hAnsi="Century Schoolbook"/>
              </w:rPr>
              <w:t>FilmArray</w:t>
            </w:r>
            <w:r w:rsidRPr="00CF12B7">
              <w:rPr>
                <w:rFonts w:ascii="Century Schoolbook" w:hAnsi="Century Schoolbook" w:cs="Arial"/>
                <w:vertAlign w:val="superscript"/>
              </w:rPr>
              <w:t>®</w:t>
            </w:r>
            <w:r w:rsidRPr="00CF12B7">
              <w:rPr>
                <w:rFonts w:ascii="Century Schoolbook" w:hAnsi="Century Schoolbook"/>
              </w:rPr>
              <w:t>2.0 or FilmArray</w:t>
            </w:r>
            <w:r w:rsidRPr="00CF12B7">
              <w:rPr>
                <w:rFonts w:ascii="Century Schoolbook" w:hAnsi="Century Schoolbook" w:cs="Arial"/>
                <w:vertAlign w:val="superscript"/>
              </w:rPr>
              <w:t xml:space="preserve">® </w:t>
            </w:r>
            <w:r w:rsidRPr="00CF12B7">
              <w:rPr>
                <w:rFonts w:ascii="Century Schoolbook" w:hAnsi="Century Schoolbook"/>
              </w:rPr>
              <w:t xml:space="preserve">Torch and accompanying </w:t>
            </w:r>
            <w:r>
              <w:rPr>
                <w:rFonts w:ascii="Century Schoolbook" w:hAnsi="Century Schoolbook"/>
              </w:rPr>
              <w:t>software</w:t>
            </w:r>
          </w:p>
          <w:p w:rsidR="00CF12B7" w:rsidRPr="00CF12B7" w:rsidRDefault="00CF12B7" w:rsidP="00CF12B7">
            <w:pPr>
              <w:pStyle w:val="ListParagraph"/>
              <w:numPr>
                <w:ilvl w:val="0"/>
                <w:numId w:val="9"/>
              </w:numPr>
              <w:spacing w:before="120" w:after="120"/>
              <w:rPr>
                <w:rFonts w:ascii="Century Schoolbook" w:hAnsi="Century Schoolbook"/>
              </w:rPr>
            </w:pPr>
          </w:p>
          <w:p w:rsidR="00CF12B7" w:rsidRDefault="00CF12B7" w:rsidP="00CF12B7">
            <w:pPr>
              <w:pStyle w:val="ListParagraph"/>
              <w:numPr>
                <w:ilvl w:val="0"/>
                <w:numId w:val="9"/>
              </w:numPr>
              <w:spacing w:before="120"/>
              <w:rPr>
                <w:rFonts w:ascii="Century Schoolbook" w:hAnsi="Century Schoolbook"/>
              </w:rPr>
            </w:pPr>
            <w:r w:rsidRPr="00CF12B7">
              <w:rPr>
                <w:rFonts w:ascii="Century Schoolbook" w:hAnsi="Century Schoolbook"/>
              </w:rPr>
              <w:t>FilmArray</w:t>
            </w:r>
            <w:r w:rsidRPr="00CF12B7">
              <w:rPr>
                <w:rFonts w:ascii="Century Schoolbook" w:hAnsi="Century Schoolbook" w:cs="Arial"/>
                <w:vertAlign w:val="superscript"/>
              </w:rPr>
              <w:t xml:space="preserve">® </w:t>
            </w:r>
            <w:r w:rsidRPr="00CF12B7">
              <w:rPr>
                <w:rFonts w:ascii="Century Schoolbook" w:hAnsi="Century Schoolbook"/>
              </w:rPr>
              <w:t>Pouch Loading Station</w:t>
            </w:r>
            <w:r>
              <w:rPr>
                <w:rFonts w:ascii="Century Schoolbook" w:hAnsi="Century Schoolbook"/>
              </w:rPr>
              <w:t>’</w:t>
            </w:r>
          </w:p>
          <w:p w:rsidR="00CF12B7" w:rsidRPr="00CF12B7" w:rsidRDefault="00CF12B7" w:rsidP="00CF12B7">
            <w:pPr>
              <w:pStyle w:val="ListParagraph"/>
              <w:spacing w:before="120"/>
              <w:ind w:left="360"/>
              <w:rPr>
                <w:rFonts w:ascii="Century Schoolbook" w:hAnsi="Century Schoolbook"/>
              </w:rPr>
            </w:pPr>
          </w:p>
          <w:p w:rsidR="00CF12B7" w:rsidRPr="00CF12B7" w:rsidRDefault="00CF12B7" w:rsidP="00CF12B7">
            <w:pPr>
              <w:pStyle w:val="ListParagraph"/>
              <w:numPr>
                <w:ilvl w:val="0"/>
                <w:numId w:val="9"/>
              </w:numPr>
              <w:spacing w:before="120" w:after="120"/>
              <w:rPr>
                <w:rFonts w:ascii="Century Schoolbook" w:hAnsi="Century Schoolbook"/>
              </w:rPr>
            </w:pPr>
            <w:r w:rsidRPr="00CF12B7">
              <w:rPr>
                <w:rFonts w:ascii="Century Schoolbook" w:hAnsi="Century Schoolbook"/>
              </w:rPr>
              <w:t>10% bleach solution or a similar disinfectant</w:t>
            </w:r>
          </w:p>
          <w:p w:rsidR="00DF7A17" w:rsidRPr="00DF7A17" w:rsidRDefault="00DF7A17" w:rsidP="00DF7A17">
            <w:pPr>
              <w:rPr>
                <w:rFonts w:ascii="Century Schoolbook" w:hAnsi="Century Schoolbook"/>
                <w:b/>
              </w:rPr>
            </w:pPr>
          </w:p>
        </w:tc>
      </w:tr>
    </w:tbl>
    <w:p w:rsidR="00653952" w:rsidRPr="00743426" w:rsidRDefault="00653952" w:rsidP="00A661F8">
      <w:pPr>
        <w:spacing w:line="240" w:lineRule="auto"/>
        <w:rPr>
          <w:rFonts w:ascii="Century Schoolbook" w:hAnsi="Century Schoolbook"/>
          <w:b/>
          <w:sz w:val="24"/>
          <w:szCs w:val="24"/>
        </w:rPr>
      </w:pPr>
    </w:p>
    <w:p w:rsidR="00102BF6" w:rsidRPr="00743426" w:rsidRDefault="00102BF6" w:rsidP="00A661F8">
      <w:pPr>
        <w:pStyle w:val="Heading3"/>
        <w:rPr>
          <w:rFonts w:ascii="Century Schoolbook" w:hAnsi="Century Schoolbook"/>
          <w:szCs w:val="24"/>
        </w:rPr>
      </w:pPr>
      <w:bookmarkStart w:id="1" w:name="_Toc290465392"/>
      <w:bookmarkStart w:id="2" w:name="_Toc315098854"/>
      <w:bookmarkStart w:id="3" w:name="_Toc341182854"/>
      <w:bookmarkStart w:id="4" w:name="_Toc410637839"/>
      <w:r w:rsidRPr="00743426">
        <w:rPr>
          <w:rFonts w:ascii="Century Schoolbook" w:hAnsi="Century Schoolbook"/>
          <w:szCs w:val="24"/>
        </w:rPr>
        <w:lastRenderedPageBreak/>
        <w:t>P</w:t>
      </w:r>
      <w:bookmarkEnd w:id="1"/>
      <w:bookmarkEnd w:id="2"/>
      <w:bookmarkEnd w:id="3"/>
      <w:bookmarkEnd w:id="4"/>
      <w:r w:rsidRPr="00743426">
        <w:rPr>
          <w:rFonts w:ascii="Century Schoolbook" w:hAnsi="Century Schoolbook"/>
          <w:szCs w:val="24"/>
        </w:rPr>
        <w:t>rocedure</w:t>
      </w:r>
    </w:p>
    <w:p w:rsidR="003D30F2" w:rsidRDefault="003D30F2" w:rsidP="003D30F2">
      <w:pPr>
        <w:pStyle w:val="Heading2"/>
      </w:pPr>
      <w:bookmarkStart w:id="5" w:name="_Toc482802062"/>
      <w:r>
        <w:t>Step 1: Prepare Pouch</w:t>
      </w:r>
      <w:bookmarkEnd w:id="5"/>
    </w:p>
    <w:p w:rsidR="003D30F2" w:rsidRPr="00B1320A" w:rsidRDefault="003D30F2" w:rsidP="003D30F2">
      <w:pPr>
        <w:pStyle w:val="ListParagraph"/>
        <w:numPr>
          <w:ilvl w:val="0"/>
          <w:numId w:val="29"/>
        </w:numPr>
        <w:spacing w:before="120" w:after="120"/>
        <w:contextualSpacing w:val="0"/>
        <w:jc w:val="both"/>
      </w:pPr>
      <w:r w:rsidRPr="00B1320A">
        <w:t>Thoroughly clean the work area and the FilmArray Pouch Loading Station with freshly prepared 10% bleach (or suitable disinfectant) followed by a water rinse.</w:t>
      </w:r>
      <w:r>
        <w:t xml:space="preserve">  </w:t>
      </w:r>
    </w:p>
    <w:p w:rsidR="003D30F2" w:rsidRPr="00B1320A" w:rsidRDefault="003D30F2" w:rsidP="003D30F2">
      <w:pPr>
        <w:pStyle w:val="ListParagraph"/>
        <w:numPr>
          <w:ilvl w:val="0"/>
          <w:numId w:val="29"/>
        </w:numPr>
        <w:spacing w:before="120" w:after="0"/>
        <w:contextualSpacing w:val="0"/>
        <w:jc w:val="both"/>
      </w:pPr>
      <w:r w:rsidRPr="00B1320A">
        <w:t xml:space="preserve">Remove the pouch from its vacuum-sealed package by tearing or cutting the notched outer packaging and opening the protective aluminum canister. </w:t>
      </w:r>
    </w:p>
    <w:p w:rsidR="003D30F2" w:rsidRDefault="003D30F2" w:rsidP="003D30F2">
      <w:pPr>
        <w:rPr>
          <w:b/>
        </w:rPr>
      </w:pPr>
      <w:r>
        <w:rPr>
          <w:noProof/>
        </w:rPr>
        <w:drawing>
          <wp:inline distT="0" distB="0" distL="0" distR="0" wp14:anchorId="73F0C9FC" wp14:editId="7781C2FA">
            <wp:extent cx="227965" cy="236963"/>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1A428F">
        <w:rPr>
          <w:b/>
        </w:rPr>
        <w:t>NOTE:</w:t>
      </w:r>
      <w:r w:rsidRPr="00BE3116">
        <w:rPr>
          <w:b/>
          <w:i/>
        </w:rPr>
        <w:t xml:space="preserve"> </w:t>
      </w:r>
      <w:r w:rsidRPr="008A2F20">
        <w:rPr>
          <w:b/>
        </w:rPr>
        <w:t>The pouch may still be used even if the vacuum seal of the pouch is not intact. Attempt to hydrate the pouch using the steps in the Hydrate Pouch section. If hydration is successful, continue with the run. If hydration fails, discard the pouch and use a new pouch to test the sample.</w:t>
      </w:r>
    </w:p>
    <w:p w:rsidR="003D30F2" w:rsidRDefault="003D30F2" w:rsidP="003D30F2">
      <w:pPr>
        <w:pStyle w:val="ListParagraph"/>
        <w:numPr>
          <w:ilvl w:val="0"/>
          <w:numId w:val="24"/>
        </w:numPr>
        <w:spacing w:before="120" w:after="120"/>
        <w:contextualSpacing w:val="0"/>
        <w:jc w:val="both"/>
      </w:pPr>
      <w:r>
        <w:t>Check the expiration date on the pouch. Do not use expired pouches.</w:t>
      </w:r>
    </w:p>
    <w:p w:rsidR="003D30F2" w:rsidRDefault="003D30F2" w:rsidP="003D30F2">
      <w:pPr>
        <w:pStyle w:val="ListParagraph"/>
        <w:numPr>
          <w:ilvl w:val="0"/>
          <w:numId w:val="24"/>
        </w:numPr>
        <w:spacing w:before="120" w:after="120"/>
        <w:contextualSpacing w:val="0"/>
        <w:jc w:val="both"/>
      </w:pPr>
      <w:r>
        <w:rPr>
          <w:noProof/>
        </w:rPr>
        <w:drawing>
          <wp:anchor distT="0" distB="0" distL="114300" distR="114300" simplePos="0" relativeHeight="251659264" behindDoc="0" locked="0" layoutInCell="1" allowOverlap="1" wp14:anchorId="4821E988" wp14:editId="5808D1DC">
            <wp:simplePos x="0" y="0"/>
            <wp:positionH relativeFrom="column">
              <wp:posOffset>5243885</wp:posOffset>
            </wp:positionH>
            <wp:positionV relativeFrom="paragraph">
              <wp:posOffset>34290</wp:posOffset>
            </wp:positionV>
            <wp:extent cx="1631315" cy="1311910"/>
            <wp:effectExtent l="0" t="0" r="6985"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31315" cy="1311910"/>
                    </a:xfrm>
                    <a:prstGeom prst="rect">
                      <a:avLst/>
                    </a:prstGeom>
                  </pic:spPr>
                </pic:pic>
              </a:graphicData>
            </a:graphic>
          </wp:anchor>
        </w:drawing>
      </w:r>
      <w:r>
        <w:t>Insert</w:t>
      </w:r>
      <w:r w:rsidRPr="00B1320A">
        <w:t xml:space="preserve"> the </w:t>
      </w:r>
      <w:r>
        <w:t>p</w:t>
      </w:r>
      <w:r w:rsidRPr="00B1320A">
        <w:t xml:space="preserve">ouch into the </w:t>
      </w:r>
      <w:r>
        <w:t xml:space="preserve">FilmArray Pouch Loading Station, aligning the </w:t>
      </w:r>
      <w:r w:rsidRPr="00B1320A">
        <w:t>red a</w:t>
      </w:r>
      <w:r>
        <w:t>nd blue labels on the pouch</w:t>
      </w:r>
      <w:r w:rsidRPr="00B1320A">
        <w:t xml:space="preserve"> with the red and blue arrows on the </w:t>
      </w:r>
      <w:r>
        <w:t>FilmArray Pouch Loading Station</w:t>
      </w:r>
      <w:r w:rsidRPr="00B1320A">
        <w:t>.</w:t>
      </w:r>
      <w:r>
        <w:t xml:space="preserve"> </w:t>
      </w:r>
    </w:p>
    <w:p w:rsidR="003D30F2" w:rsidRDefault="003D30F2" w:rsidP="003D30F2">
      <w:pPr>
        <w:pStyle w:val="ListParagraph"/>
        <w:numPr>
          <w:ilvl w:val="0"/>
          <w:numId w:val="24"/>
        </w:numPr>
        <w:spacing w:before="120" w:after="120"/>
        <w:contextualSpacing w:val="0"/>
        <w:jc w:val="both"/>
      </w:pPr>
      <w:r w:rsidRPr="00B1320A">
        <w:t xml:space="preserve">Place a </w:t>
      </w:r>
      <w:r>
        <w:t xml:space="preserve">red-capped </w:t>
      </w:r>
      <w:r w:rsidRPr="00512ECA">
        <w:rPr>
          <w:color w:val="C00000"/>
        </w:rPr>
        <w:t>Sample Injection Vial</w:t>
      </w:r>
      <w:r>
        <w:t xml:space="preserve"> into the </w:t>
      </w:r>
      <w:r w:rsidRPr="00512ECA">
        <w:rPr>
          <w:color w:val="C00000"/>
        </w:rPr>
        <w:t>red well</w:t>
      </w:r>
      <w:r w:rsidRPr="00637D12">
        <w:rPr>
          <w:color w:val="C00000"/>
        </w:rPr>
        <w:t xml:space="preserve"> </w:t>
      </w:r>
      <w:r>
        <w:t>of the FilmArray Pouch Loading Station.</w:t>
      </w:r>
      <w:r w:rsidRPr="001346D2">
        <w:rPr>
          <w:noProof/>
        </w:rPr>
        <w:t xml:space="preserve"> </w:t>
      </w:r>
    </w:p>
    <w:p w:rsidR="003D30F2" w:rsidRDefault="003D30F2" w:rsidP="003D30F2">
      <w:pPr>
        <w:pStyle w:val="ListParagraph"/>
        <w:numPr>
          <w:ilvl w:val="0"/>
          <w:numId w:val="24"/>
        </w:numPr>
        <w:spacing w:before="120" w:after="120"/>
        <w:contextualSpacing w:val="0"/>
        <w:jc w:val="both"/>
      </w:pPr>
      <w:r>
        <w:t xml:space="preserve">Place a </w:t>
      </w:r>
      <w:r w:rsidRPr="00B1320A">
        <w:t xml:space="preserve">blue-capped </w:t>
      </w:r>
      <w:r w:rsidRPr="00512ECA">
        <w:rPr>
          <w:color w:val="0070C0"/>
        </w:rPr>
        <w:t>Hydration Injection Vial</w:t>
      </w:r>
      <w:r w:rsidRPr="00637D12">
        <w:rPr>
          <w:color w:val="0070C0"/>
        </w:rPr>
        <w:t xml:space="preserve"> </w:t>
      </w:r>
      <w:r w:rsidRPr="00B1320A">
        <w:t>in</w:t>
      </w:r>
      <w:r>
        <w:t>to</w:t>
      </w:r>
      <w:r w:rsidRPr="00B1320A">
        <w:t xml:space="preserve"> the </w:t>
      </w:r>
      <w:r w:rsidRPr="00512ECA">
        <w:rPr>
          <w:color w:val="0070C0"/>
        </w:rPr>
        <w:t>blue well</w:t>
      </w:r>
      <w:r w:rsidRPr="00637D12">
        <w:rPr>
          <w:color w:val="0070C0"/>
        </w:rPr>
        <w:t xml:space="preserve"> </w:t>
      </w:r>
      <w:r w:rsidRPr="00B1320A">
        <w:t xml:space="preserve">of the </w:t>
      </w:r>
      <w:r>
        <w:t>FilmArray Pouch Loading Station</w:t>
      </w:r>
      <w:r w:rsidRPr="00B1320A">
        <w:t>.</w:t>
      </w:r>
    </w:p>
    <w:p w:rsidR="003D30F2" w:rsidRPr="00A87740" w:rsidRDefault="003D30F2" w:rsidP="003D30F2">
      <w:pPr>
        <w:pStyle w:val="Heading2"/>
      </w:pPr>
      <w:bookmarkStart w:id="6" w:name="_Toc482802063"/>
      <w:r>
        <w:t xml:space="preserve">Step 2: </w:t>
      </w:r>
      <w:r w:rsidRPr="00A87740">
        <w:t>Hydrate Pouch</w:t>
      </w:r>
      <w:bookmarkEnd w:id="6"/>
    </w:p>
    <w:p w:rsidR="003D30F2" w:rsidRPr="00512ECA" w:rsidRDefault="003D30F2" w:rsidP="003D30F2">
      <w:pPr>
        <w:pStyle w:val="ListParagraph"/>
        <w:numPr>
          <w:ilvl w:val="0"/>
          <w:numId w:val="30"/>
        </w:numPr>
        <w:spacing w:before="120" w:after="120"/>
        <w:contextualSpacing w:val="0"/>
        <w:jc w:val="both"/>
      </w:pPr>
      <w:r w:rsidRPr="00512ECA">
        <w:rPr>
          <w:noProof/>
        </w:rPr>
        <w:drawing>
          <wp:anchor distT="0" distB="0" distL="114300" distR="114300" simplePos="0" relativeHeight="251660288" behindDoc="0" locked="0" layoutInCell="1" allowOverlap="1" wp14:anchorId="6567BB63" wp14:editId="578CB655">
            <wp:simplePos x="0" y="0"/>
            <wp:positionH relativeFrom="column">
              <wp:posOffset>5499100</wp:posOffset>
            </wp:positionH>
            <wp:positionV relativeFrom="paragraph">
              <wp:posOffset>203200</wp:posOffset>
            </wp:positionV>
            <wp:extent cx="1334770" cy="12084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34770" cy="1208405"/>
                    </a:xfrm>
                    <a:prstGeom prst="rect">
                      <a:avLst/>
                    </a:prstGeom>
                  </pic:spPr>
                </pic:pic>
              </a:graphicData>
            </a:graphic>
            <wp14:sizeRelH relativeFrom="margin">
              <wp14:pctWidth>0</wp14:pctWidth>
            </wp14:sizeRelH>
            <wp14:sizeRelV relativeFrom="margin">
              <wp14:pctHeight>0</wp14:pctHeight>
            </wp14:sizeRelV>
          </wp:anchor>
        </w:drawing>
      </w:r>
      <w:r w:rsidRPr="00512ECA">
        <w:t xml:space="preserve">Unscrew the </w:t>
      </w:r>
      <w:r w:rsidRPr="00512ECA">
        <w:rPr>
          <w:color w:val="0070C0"/>
        </w:rPr>
        <w:t>Hydration Injection Vial</w:t>
      </w:r>
      <w:r w:rsidRPr="00512ECA">
        <w:t xml:space="preserve"> from the blue cap.</w:t>
      </w:r>
    </w:p>
    <w:p w:rsidR="003D30F2" w:rsidRPr="00512ECA" w:rsidRDefault="003D30F2" w:rsidP="003D30F2">
      <w:pPr>
        <w:pStyle w:val="ListParagraph"/>
        <w:numPr>
          <w:ilvl w:val="0"/>
          <w:numId w:val="30"/>
        </w:numPr>
        <w:spacing w:before="120" w:after="120"/>
        <w:contextualSpacing w:val="0"/>
        <w:jc w:val="both"/>
      </w:pPr>
      <w:r w:rsidRPr="00512ECA">
        <w:t xml:space="preserve">Remove the </w:t>
      </w:r>
      <w:r w:rsidRPr="00512ECA">
        <w:rPr>
          <w:color w:val="0070C0"/>
        </w:rPr>
        <w:t>Hydration Injection Vial</w:t>
      </w:r>
      <w:r w:rsidRPr="00512ECA">
        <w:t xml:space="preserve">, leaving the blue cap in the </w:t>
      </w:r>
      <w:r>
        <w:t>FilmArray Pouch Loading Station</w:t>
      </w:r>
      <w:r w:rsidRPr="00512ECA">
        <w:t>.</w:t>
      </w:r>
    </w:p>
    <w:p w:rsidR="003D30F2" w:rsidRPr="00512ECA" w:rsidRDefault="003D30F2" w:rsidP="003D30F2">
      <w:pPr>
        <w:pStyle w:val="ListParagraph"/>
        <w:numPr>
          <w:ilvl w:val="0"/>
          <w:numId w:val="24"/>
        </w:numPr>
        <w:spacing w:before="120" w:after="120"/>
        <w:contextualSpacing w:val="0"/>
        <w:jc w:val="both"/>
      </w:pPr>
      <w:r w:rsidRPr="00512ECA">
        <w:t xml:space="preserve">Insert the </w:t>
      </w:r>
      <w:r w:rsidRPr="00512ECA">
        <w:rPr>
          <w:color w:val="0070C0"/>
        </w:rPr>
        <w:t>Hydration Injection Vial’s</w:t>
      </w:r>
      <w:r w:rsidRPr="00512ECA">
        <w:t xml:space="preserve"> cannula tip into the </w:t>
      </w:r>
      <w:r w:rsidRPr="00512ECA">
        <w:rPr>
          <w:color w:val="0070C0"/>
        </w:rPr>
        <w:t xml:space="preserve">pouch hydration port </w:t>
      </w:r>
      <w:r w:rsidRPr="00512ECA">
        <w:t xml:space="preserve">located directly below the blue arrow of the </w:t>
      </w:r>
      <w:r>
        <w:t>FilmArray Pouch Loading Station</w:t>
      </w:r>
      <w:r w:rsidRPr="00512ECA">
        <w:t xml:space="preserve">. </w:t>
      </w:r>
    </w:p>
    <w:p w:rsidR="003D30F2" w:rsidRDefault="003D30F2" w:rsidP="003D30F2">
      <w:pPr>
        <w:pStyle w:val="ListParagraph"/>
        <w:numPr>
          <w:ilvl w:val="0"/>
          <w:numId w:val="24"/>
        </w:numPr>
        <w:spacing w:before="120" w:after="120"/>
        <w:contextualSpacing w:val="0"/>
        <w:jc w:val="both"/>
      </w:pPr>
      <w:r w:rsidRPr="00512ECA">
        <w:t>Forcefully push down in a firm and quick motion to puncture seal until a faint “pop” is heard and there is an ease in resistance. Wait as the correct volume of Hydration Solution is pulled into the pouch by vacuum.</w:t>
      </w:r>
    </w:p>
    <w:p w:rsidR="003D30F2" w:rsidRPr="00512ECA" w:rsidRDefault="003D30F2" w:rsidP="003D30F2">
      <w:pPr>
        <w:pStyle w:val="ListParagraph"/>
        <w:numPr>
          <w:ilvl w:val="1"/>
          <w:numId w:val="33"/>
        </w:numPr>
        <w:spacing w:before="120" w:after="120"/>
        <w:contextualSpacing w:val="0"/>
        <w:jc w:val="both"/>
      </w:pPr>
      <w:r>
        <w:t>If the hydration solution is not automatically drawn into the pouch, repeat Step 2</w:t>
      </w:r>
      <w:r w:rsidRPr="00512ECA">
        <w:t xml:space="preserve"> to verify that the seal of the </w:t>
      </w:r>
      <w:r w:rsidRPr="00D5188B">
        <w:rPr>
          <w:color w:val="0070C0"/>
        </w:rPr>
        <w:t>pouch hydration port</w:t>
      </w:r>
      <w:r w:rsidRPr="00D5188B">
        <w:t xml:space="preserve"> </w:t>
      </w:r>
      <w:r w:rsidRPr="00512ECA">
        <w:t>was broken</w:t>
      </w:r>
      <w:r>
        <w:t xml:space="preserve">. If hydration solution is again not drawn into the pouch, discard the current pouch, </w:t>
      </w:r>
      <w:r w:rsidRPr="00512ECA">
        <w:t>retrieve a new pouch</w:t>
      </w:r>
      <w:r>
        <w:t>,</w:t>
      </w:r>
      <w:r w:rsidRPr="00512ECA">
        <w:t xml:space="preserve"> and repeat from </w:t>
      </w:r>
      <w:r w:rsidRPr="00D5188B">
        <w:rPr>
          <w:i/>
        </w:rPr>
        <w:t>Step 1: Prepare Pouch</w:t>
      </w:r>
      <w:r w:rsidRPr="00512ECA">
        <w:t>.</w:t>
      </w:r>
    </w:p>
    <w:p w:rsidR="003D30F2" w:rsidRPr="00512ECA" w:rsidRDefault="003D30F2" w:rsidP="003D30F2">
      <w:pPr>
        <w:pStyle w:val="ListParagraph"/>
        <w:numPr>
          <w:ilvl w:val="0"/>
          <w:numId w:val="24"/>
        </w:numPr>
        <w:spacing w:before="120" w:after="120"/>
        <w:contextualSpacing w:val="0"/>
        <w:jc w:val="both"/>
      </w:pPr>
      <w:r w:rsidRPr="00512ECA">
        <w:t xml:space="preserve">Verify that the pouch has been hydrated. </w:t>
      </w:r>
    </w:p>
    <w:p w:rsidR="003D30F2" w:rsidRPr="00512ECA" w:rsidRDefault="003D30F2" w:rsidP="003D30F2">
      <w:pPr>
        <w:pStyle w:val="ListParagraph"/>
        <w:numPr>
          <w:ilvl w:val="1"/>
          <w:numId w:val="33"/>
        </w:numPr>
        <w:spacing w:before="120" w:after="120"/>
        <w:contextualSpacing w:val="0"/>
        <w:jc w:val="both"/>
      </w:pPr>
      <w:r w:rsidRPr="00512ECA">
        <w:t xml:space="preserve">Flip the barcode label down and check to see that fluid has entered the reagent wells (located at the base of the rigid plastic part of the pouch). Small air bubbles may be seen. </w:t>
      </w:r>
    </w:p>
    <w:p w:rsidR="003D30F2" w:rsidRPr="00512ECA" w:rsidRDefault="003D30F2" w:rsidP="003D30F2">
      <w:pPr>
        <w:pStyle w:val="ListParagraph"/>
        <w:numPr>
          <w:ilvl w:val="1"/>
          <w:numId w:val="33"/>
        </w:numPr>
        <w:spacing w:before="120" w:after="120"/>
        <w:contextualSpacing w:val="0"/>
        <w:jc w:val="both"/>
      </w:pPr>
      <w:r w:rsidRPr="00512ECA">
        <w:t xml:space="preserve">If the pouch fails to hydrate (dry reagents appear as white pellets), repeat Step 2 to verify that the seal of the </w:t>
      </w:r>
      <w:r w:rsidRPr="00512ECA">
        <w:rPr>
          <w:color w:val="0070C0"/>
        </w:rPr>
        <w:t xml:space="preserve">pouch hydration port </w:t>
      </w:r>
      <w:r w:rsidRPr="00512ECA">
        <w:t>was broken</w:t>
      </w:r>
      <w:r>
        <w:t xml:space="preserve">. If hydration solution is still not drawn into the pouch, discard the current pouch, </w:t>
      </w:r>
      <w:r w:rsidRPr="00512ECA">
        <w:t>retrieve a new pouch</w:t>
      </w:r>
      <w:r>
        <w:t>,</w:t>
      </w:r>
      <w:r w:rsidRPr="00512ECA">
        <w:t xml:space="preserve"> and repeat from </w:t>
      </w:r>
      <w:r w:rsidRPr="00512ECA">
        <w:rPr>
          <w:i/>
        </w:rPr>
        <w:t>Step 1: Prepare Pouch</w:t>
      </w:r>
      <w:r w:rsidRPr="00512ECA">
        <w:t xml:space="preserve">. </w:t>
      </w:r>
    </w:p>
    <w:p w:rsidR="003D30F2" w:rsidRDefault="003D30F2" w:rsidP="003D30F2">
      <w:pPr>
        <w:pStyle w:val="Heading2"/>
        <w:rPr>
          <w:rFonts w:eastAsia="Times New Roman"/>
        </w:rPr>
      </w:pPr>
      <w:bookmarkStart w:id="7" w:name="_Toc482802064"/>
      <w:r>
        <w:rPr>
          <w:noProof/>
        </w:rPr>
        <w:lastRenderedPageBreak/>
        <w:drawing>
          <wp:anchor distT="0" distB="0" distL="114300" distR="114300" simplePos="0" relativeHeight="251661312" behindDoc="0" locked="0" layoutInCell="1" allowOverlap="1" wp14:anchorId="4C3BADE6" wp14:editId="288B3449">
            <wp:simplePos x="0" y="0"/>
            <wp:positionH relativeFrom="column">
              <wp:posOffset>5028565</wp:posOffset>
            </wp:positionH>
            <wp:positionV relativeFrom="paragraph">
              <wp:posOffset>349250</wp:posOffset>
            </wp:positionV>
            <wp:extent cx="1016000" cy="85217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16000" cy="85217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rPr>
        <w:t>Step 3: Prepare Sample Mix</w:t>
      </w:r>
      <w:bookmarkEnd w:id="7"/>
    </w:p>
    <w:p w:rsidR="003D30F2" w:rsidRPr="00512ECA" w:rsidRDefault="003D30F2" w:rsidP="003D30F2">
      <w:pPr>
        <w:pStyle w:val="ListParagraph"/>
        <w:numPr>
          <w:ilvl w:val="0"/>
          <w:numId w:val="31"/>
        </w:numPr>
        <w:spacing w:before="120" w:after="120"/>
        <w:contextualSpacing w:val="0"/>
        <w:jc w:val="both"/>
      </w:pPr>
      <w:r w:rsidRPr="00512ECA">
        <w:t xml:space="preserve">Add Sample Buffer to the </w:t>
      </w:r>
      <w:r w:rsidRPr="00512ECA">
        <w:rPr>
          <w:color w:val="C00000"/>
        </w:rPr>
        <w:t>Sample Injection Vial</w:t>
      </w:r>
      <w:r w:rsidRPr="00512ECA">
        <w:t>.</w:t>
      </w:r>
    </w:p>
    <w:p w:rsidR="003D30F2" w:rsidRPr="00512ECA" w:rsidRDefault="003D30F2" w:rsidP="003D30F2">
      <w:pPr>
        <w:numPr>
          <w:ilvl w:val="1"/>
          <w:numId w:val="34"/>
        </w:numPr>
        <w:spacing w:before="120" w:after="120" w:line="288" w:lineRule="auto"/>
        <w:jc w:val="both"/>
        <w:rPr>
          <w:rFonts w:eastAsia="Times New Roman" w:cs="Arial"/>
        </w:rPr>
      </w:pPr>
      <w:r w:rsidRPr="00512ECA">
        <w:rPr>
          <w:noProof/>
        </w:rPr>
        <w:drawing>
          <wp:anchor distT="0" distB="0" distL="114300" distR="114300" simplePos="0" relativeHeight="251662336" behindDoc="0" locked="0" layoutInCell="1" allowOverlap="1" wp14:anchorId="7F61A54A" wp14:editId="600F00BE">
            <wp:simplePos x="0" y="0"/>
            <wp:positionH relativeFrom="column">
              <wp:posOffset>5719362</wp:posOffset>
            </wp:positionH>
            <wp:positionV relativeFrom="paragraph">
              <wp:posOffset>251709</wp:posOffset>
            </wp:positionV>
            <wp:extent cx="1144905" cy="15132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44905" cy="1513205"/>
                    </a:xfrm>
                    <a:prstGeom prst="rect">
                      <a:avLst/>
                    </a:prstGeom>
                  </pic:spPr>
                </pic:pic>
              </a:graphicData>
            </a:graphic>
            <wp14:sizeRelH relativeFrom="margin">
              <wp14:pctWidth>0</wp14:pctWidth>
            </wp14:sizeRelH>
            <wp14:sizeRelV relativeFrom="margin">
              <wp14:pctHeight>0</wp14:pctHeight>
            </wp14:sizeRelV>
          </wp:anchor>
        </w:drawing>
      </w:r>
      <w:r w:rsidRPr="00512ECA">
        <w:rPr>
          <w:rFonts w:eastAsia="Times New Roman" w:cs="Arial"/>
        </w:rPr>
        <w:t>Hold the Sample Buffer ampoule with the tip facing up.</w:t>
      </w:r>
      <w:r w:rsidRPr="00512ECA">
        <w:rPr>
          <w:noProof/>
        </w:rPr>
        <w:t xml:space="preserve"> </w:t>
      </w:r>
    </w:p>
    <w:p w:rsidR="003D30F2" w:rsidRPr="00BE3116" w:rsidRDefault="003D30F2" w:rsidP="003D30F2">
      <w:pPr>
        <w:rPr>
          <w:b/>
          <w:i/>
        </w:rPr>
      </w:pPr>
      <w:r w:rsidRPr="00F76987">
        <w:rPr>
          <w:noProof/>
        </w:rPr>
        <w:t xml:space="preserve"> </w:t>
      </w:r>
      <w:r>
        <w:rPr>
          <w:noProof/>
        </w:rPr>
        <w:drawing>
          <wp:inline distT="0" distB="0" distL="0" distR="0" wp14:anchorId="3A9C526A" wp14:editId="1A127ABC">
            <wp:extent cx="227965" cy="236963"/>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BE3116">
        <w:rPr>
          <w:b/>
          <w:i/>
        </w:rPr>
        <w:t xml:space="preserve"> </w:t>
      </w:r>
      <w:r w:rsidRPr="008A2F20">
        <w:rPr>
          <w:b/>
        </w:rPr>
        <w:t>NOTE: Avoid touching the ampoule tip during handling, as this may introduce contamination.</w:t>
      </w:r>
    </w:p>
    <w:p w:rsidR="003D30F2" w:rsidRPr="00BE3116" w:rsidRDefault="003D30F2" w:rsidP="003D30F2">
      <w:pPr>
        <w:numPr>
          <w:ilvl w:val="1"/>
          <w:numId w:val="35"/>
        </w:numPr>
        <w:spacing w:before="120" w:after="120" w:line="288" w:lineRule="auto"/>
        <w:jc w:val="both"/>
        <w:rPr>
          <w:rFonts w:eastAsia="Times New Roman" w:cs="Arial"/>
        </w:rPr>
      </w:pPr>
      <w:r>
        <w:rPr>
          <w:rFonts w:eastAsia="Times New Roman" w:cs="Arial"/>
        </w:rPr>
        <w:t>Firmly</w:t>
      </w:r>
      <w:r w:rsidRPr="00BE3116">
        <w:rPr>
          <w:rFonts w:eastAsia="Times New Roman" w:cs="Arial"/>
        </w:rPr>
        <w:t xml:space="preserve"> pinch </w:t>
      </w:r>
      <w:r>
        <w:rPr>
          <w:rFonts w:eastAsia="Times New Roman" w:cs="Arial"/>
        </w:rPr>
        <w:t>at</w:t>
      </w:r>
      <w:r w:rsidRPr="00BE3116">
        <w:rPr>
          <w:rFonts w:eastAsia="Times New Roman" w:cs="Arial"/>
        </w:rPr>
        <w:t xml:space="preserve"> textured plastic tab on the side of the ampoule until the seal snaps.</w:t>
      </w:r>
    </w:p>
    <w:p w:rsidR="003D30F2" w:rsidRDefault="003D30F2" w:rsidP="003D30F2">
      <w:pPr>
        <w:numPr>
          <w:ilvl w:val="1"/>
          <w:numId w:val="35"/>
        </w:numPr>
        <w:spacing w:before="120" w:after="120" w:line="288" w:lineRule="auto"/>
        <w:jc w:val="both"/>
        <w:rPr>
          <w:rFonts w:eastAsia="Times New Roman" w:cs="Arial"/>
        </w:rPr>
      </w:pPr>
      <w:r w:rsidRPr="00BE3116">
        <w:rPr>
          <w:rFonts w:eastAsia="Times New Roman" w:cs="Arial"/>
        </w:rPr>
        <w:t xml:space="preserve">Invert the </w:t>
      </w:r>
      <w:r w:rsidRPr="00512ECA">
        <w:rPr>
          <w:rFonts w:eastAsia="Times New Roman" w:cs="Arial"/>
        </w:rPr>
        <w:t xml:space="preserve">ampoule over the red-capped </w:t>
      </w:r>
      <w:r w:rsidRPr="00512ECA">
        <w:rPr>
          <w:rFonts w:eastAsia="Times New Roman" w:cs="Arial"/>
          <w:color w:val="C00000"/>
        </w:rPr>
        <w:t xml:space="preserve">Sample Injection Vial </w:t>
      </w:r>
      <w:r w:rsidRPr="00512ECA">
        <w:rPr>
          <w:rFonts w:eastAsia="Times New Roman" w:cs="Arial"/>
        </w:rPr>
        <w:t>and</w:t>
      </w:r>
      <w:r w:rsidRPr="00BE3116">
        <w:rPr>
          <w:rFonts w:eastAsia="Times New Roman" w:cs="Arial"/>
        </w:rPr>
        <w:t xml:space="preserve"> </w:t>
      </w:r>
      <w:r>
        <w:rPr>
          <w:rFonts w:eastAsia="Times New Roman" w:cs="Arial"/>
        </w:rPr>
        <w:t>d</w:t>
      </w:r>
      <w:r w:rsidRPr="00BE3116">
        <w:rPr>
          <w:rFonts w:eastAsia="Times New Roman" w:cs="Arial"/>
        </w:rPr>
        <w:t>ispense Sample Buffer using a slow, forceful sq</w:t>
      </w:r>
      <w:r>
        <w:rPr>
          <w:rFonts w:eastAsia="Times New Roman" w:cs="Arial"/>
        </w:rPr>
        <w:t>ueeze</w:t>
      </w:r>
      <w:r w:rsidRPr="00BE3116">
        <w:rPr>
          <w:rFonts w:eastAsia="Times New Roman" w:cs="Arial"/>
        </w:rPr>
        <w:t xml:space="preserve"> followed by a second squeeze.</w:t>
      </w:r>
    </w:p>
    <w:p w:rsidR="003D30F2" w:rsidRDefault="003D30F2" w:rsidP="003D30F2">
      <w:pPr>
        <w:rPr>
          <w:b/>
        </w:rPr>
      </w:pPr>
      <w:r>
        <w:rPr>
          <w:noProof/>
        </w:rPr>
        <w:drawing>
          <wp:anchor distT="0" distB="0" distL="114300" distR="114300" simplePos="0" relativeHeight="251664384" behindDoc="0" locked="0" layoutInCell="1" allowOverlap="1" wp14:anchorId="51FB4A0C" wp14:editId="3054A0B4">
            <wp:simplePos x="0" y="0"/>
            <wp:positionH relativeFrom="column">
              <wp:posOffset>4753610</wp:posOffset>
            </wp:positionH>
            <wp:positionV relativeFrom="paragraph">
              <wp:posOffset>349250</wp:posOffset>
            </wp:positionV>
            <wp:extent cx="2037715" cy="189293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351" r="-29556"/>
                    <a:stretch/>
                  </pic:blipFill>
                  <pic:spPr bwMode="auto">
                    <a:xfrm>
                      <a:off x="0" y="0"/>
                      <a:ext cx="2037715" cy="1892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9A5D3E9" wp14:editId="29BF662A">
            <wp:extent cx="227965" cy="236963"/>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8A2F20">
        <w:rPr>
          <w:b/>
        </w:rPr>
        <w:t>NOTE: Avoid squeezing the ampoule additional times. This will generate foaming, which should be avoided.</w:t>
      </w:r>
    </w:p>
    <w:p w:rsidR="003D30F2" w:rsidRDefault="003D30F2" w:rsidP="003D30F2">
      <w:pPr>
        <w:rPr>
          <w:b/>
        </w:rPr>
      </w:pPr>
    </w:p>
    <w:p w:rsidR="003D30F2" w:rsidRDefault="003D30F2" w:rsidP="003D30F2">
      <w:pPr>
        <w:pStyle w:val="Caption"/>
        <w:jc w:val="both"/>
        <w:rPr>
          <w:noProof/>
        </w:rPr>
      </w:pPr>
      <w:r w:rsidRPr="001E2ABC">
        <w:rPr>
          <w:color w:val="8A1F03"/>
        </w:rPr>
        <w:t>WARNING:</w:t>
      </w:r>
      <w:r w:rsidRPr="00637D12">
        <w:t xml:space="preserve"> The Sample Buffer is harmful if swallowed and can cause serious eye damage and skin irritation.</w:t>
      </w:r>
      <w:r w:rsidRPr="00FF1A7C">
        <w:rPr>
          <w:noProof/>
        </w:rPr>
        <w:t xml:space="preserve"> </w:t>
      </w:r>
    </w:p>
    <w:p w:rsidR="003D30F2" w:rsidRPr="00637D12" w:rsidRDefault="003D30F2" w:rsidP="003D30F2">
      <w:pPr>
        <w:rPr>
          <w:b/>
          <w:i/>
        </w:rPr>
      </w:pPr>
    </w:p>
    <w:p w:rsidR="003D30F2" w:rsidRPr="00BE3116" w:rsidRDefault="003D30F2" w:rsidP="003D30F2">
      <w:pPr>
        <w:pStyle w:val="ListParagraph"/>
        <w:numPr>
          <w:ilvl w:val="0"/>
          <w:numId w:val="24"/>
        </w:numPr>
        <w:spacing w:before="120" w:after="120"/>
        <w:contextualSpacing w:val="0"/>
        <w:jc w:val="both"/>
      </w:pPr>
      <w:r w:rsidRPr="00BE3116">
        <w:t xml:space="preserve">Thoroughly mix the </w:t>
      </w:r>
      <w:r>
        <w:t xml:space="preserve">NPS </w:t>
      </w:r>
      <w:r w:rsidRPr="00BE3116">
        <w:t>s</w:t>
      </w:r>
      <w:r>
        <w:t>pecimen by vortex or inversion</w:t>
      </w:r>
      <w:r w:rsidRPr="00BE3116">
        <w:t>.</w:t>
      </w:r>
    </w:p>
    <w:p w:rsidR="003D30F2" w:rsidRPr="00512ECA" w:rsidRDefault="003D30F2" w:rsidP="003D30F2">
      <w:pPr>
        <w:pStyle w:val="ListParagraph"/>
        <w:numPr>
          <w:ilvl w:val="0"/>
          <w:numId w:val="24"/>
        </w:numPr>
        <w:spacing w:before="120" w:after="120"/>
        <w:contextualSpacing w:val="0"/>
        <w:jc w:val="both"/>
      </w:pPr>
      <w:r w:rsidRPr="00BE3116">
        <w:t>Us</w:t>
      </w:r>
      <w:r>
        <w:t xml:space="preserve">e the </w:t>
      </w:r>
      <w:r w:rsidRPr="00512ECA">
        <w:t xml:space="preserve">transfer pipette provided in the test kit to draw specimen to the third line (approximately 0.3 mL) of the transfer pipette. </w:t>
      </w:r>
    </w:p>
    <w:p w:rsidR="003D30F2" w:rsidRPr="00512ECA" w:rsidRDefault="003D30F2" w:rsidP="003D30F2">
      <w:pPr>
        <w:pStyle w:val="ListParagraph"/>
        <w:numPr>
          <w:ilvl w:val="0"/>
          <w:numId w:val="24"/>
        </w:numPr>
        <w:spacing w:before="120" w:after="120"/>
        <w:contextualSpacing w:val="0"/>
        <w:jc w:val="both"/>
      </w:pPr>
      <w:r w:rsidRPr="00512ECA">
        <w:t xml:space="preserve">Add the specimen to the Sample Buffer in the </w:t>
      </w:r>
      <w:r w:rsidRPr="00512ECA">
        <w:rPr>
          <w:color w:val="C00000"/>
        </w:rPr>
        <w:t>Sample Injection Vial</w:t>
      </w:r>
      <w:r w:rsidRPr="00512ECA">
        <w:t xml:space="preserve">. </w:t>
      </w:r>
    </w:p>
    <w:p w:rsidR="003D30F2" w:rsidRPr="00512ECA" w:rsidRDefault="003D30F2" w:rsidP="003D30F2">
      <w:pPr>
        <w:pStyle w:val="ListParagraph"/>
        <w:numPr>
          <w:ilvl w:val="0"/>
          <w:numId w:val="24"/>
        </w:numPr>
        <w:spacing w:before="120" w:after="120"/>
        <w:contextualSpacing w:val="0"/>
        <w:jc w:val="both"/>
      </w:pPr>
      <w:r w:rsidRPr="008A2F20">
        <w:rPr>
          <w:b/>
          <w:noProof/>
        </w:rPr>
        <w:drawing>
          <wp:anchor distT="0" distB="0" distL="114300" distR="114300" simplePos="0" relativeHeight="251665408" behindDoc="0" locked="0" layoutInCell="1" allowOverlap="1" wp14:anchorId="2EBF2EE7" wp14:editId="77771EFE">
            <wp:simplePos x="0" y="0"/>
            <wp:positionH relativeFrom="margin">
              <wp:posOffset>5419090</wp:posOffset>
            </wp:positionH>
            <wp:positionV relativeFrom="paragraph">
              <wp:posOffset>92710</wp:posOffset>
            </wp:positionV>
            <wp:extent cx="1486535" cy="1517015"/>
            <wp:effectExtent l="0" t="0" r="0"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86535" cy="1517015"/>
                    </a:xfrm>
                    <a:prstGeom prst="rect">
                      <a:avLst/>
                    </a:prstGeom>
                  </pic:spPr>
                </pic:pic>
              </a:graphicData>
            </a:graphic>
            <wp14:sizeRelH relativeFrom="margin">
              <wp14:pctWidth>0</wp14:pctWidth>
            </wp14:sizeRelH>
            <wp14:sizeRelV relativeFrom="margin">
              <wp14:pctHeight>0</wp14:pctHeight>
            </wp14:sizeRelV>
          </wp:anchor>
        </w:drawing>
      </w:r>
      <w:r w:rsidRPr="00512ECA">
        <w:t xml:space="preserve">Tightly close the lid of the </w:t>
      </w:r>
      <w:r w:rsidRPr="00512ECA">
        <w:rPr>
          <w:color w:val="C00000"/>
        </w:rPr>
        <w:t xml:space="preserve">Sample Injection Vial </w:t>
      </w:r>
      <w:r w:rsidRPr="00512ECA">
        <w:t>and discard the transfer pipette in a biohazard waste container.</w:t>
      </w:r>
      <w:r w:rsidRPr="00512ECA">
        <w:rPr>
          <w:noProof/>
        </w:rPr>
        <w:t xml:space="preserve"> </w:t>
      </w:r>
    </w:p>
    <w:p w:rsidR="003D30F2" w:rsidRPr="008A2F20" w:rsidRDefault="003D30F2" w:rsidP="003D30F2">
      <w:pPr>
        <w:jc w:val="center"/>
        <w:rPr>
          <w:b/>
        </w:rPr>
      </w:pPr>
      <w:r w:rsidRPr="008A2F20">
        <w:rPr>
          <w:b/>
          <w:noProof/>
        </w:rPr>
        <w:drawing>
          <wp:inline distT="0" distB="0" distL="0" distR="0" wp14:anchorId="2FECF6A0" wp14:editId="30BE37CF">
            <wp:extent cx="227965" cy="236963"/>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8A2F20">
        <w:rPr>
          <w:b/>
        </w:rPr>
        <w:t>NOTE: DO NOT use the Transfer Pipette to mix the sample once it is loaded into the</w:t>
      </w:r>
      <w:r w:rsidRPr="008A2F20">
        <w:rPr>
          <w:b/>
          <w:color w:val="C00000"/>
        </w:rPr>
        <w:t xml:space="preserve"> </w:t>
      </w:r>
      <w:r w:rsidRPr="008A2F20">
        <w:rPr>
          <w:b/>
        </w:rPr>
        <w:t>Sample Injection Vial.</w:t>
      </w:r>
    </w:p>
    <w:p w:rsidR="003D30F2" w:rsidRPr="00512ECA" w:rsidRDefault="003D30F2" w:rsidP="003D30F2">
      <w:pPr>
        <w:pStyle w:val="ListParagraph"/>
        <w:numPr>
          <w:ilvl w:val="0"/>
          <w:numId w:val="24"/>
        </w:numPr>
        <w:spacing w:before="120" w:after="120"/>
        <w:contextualSpacing w:val="0"/>
        <w:jc w:val="both"/>
      </w:pPr>
      <w:r w:rsidRPr="00BE3116">
        <w:t xml:space="preserve">Remove </w:t>
      </w:r>
      <w:r w:rsidRPr="00512ECA">
        <w:t xml:space="preserve">the </w:t>
      </w:r>
      <w:r w:rsidRPr="00512ECA">
        <w:rPr>
          <w:color w:val="C00000"/>
        </w:rPr>
        <w:t xml:space="preserve">Sample Injection Vial </w:t>
      </w:r>
      <w:r w:rsidRPr="00512ECA">
        <w:t xml:space="preserve">from the </w:t>
      </w:r>
      <w:r>
        <w:t>FilmArray Pouch Loading Station</w:t>
      </w:r>
      <w:r w:rsidRPr="00512ECA">
        <w:t xml:space="preserve"> and invert the vial at least 3 times to mix.</w:t>
      </w:r>
    </w:p>
    <w:p w:rsidR="003D30F2" w:rsidRDefault="003D30F2" w:rsidP="003D30F2">
      <w:pPr>
        <w:pStyle w:val="ListParagraph"/>
        <w:numPr>
          <w:ilvl w:val="0"/>
          <w:numId w:val="24"/>
        </w:numPr>
        <w:spacing w:before="120" w:after="120"/>
        <w:contextualSpacing w:val="0"/>
        <w:jc w:val="both"/>
      </w:pPr>
      <w:r w:rsidRPr="00512ECA">
        <w:t xml:space="preserve">Return the </w:t>
      </w:r>
      <w:r w:rsidRPr="00512ECA">
        <w:rPr>
          <w:color w:val="C00000"/>
        </w:rPr>
        <w:t>Sample Injection Vial</w:t>
      </w:r>
      <w:r w:rsidRPr="00512ECA">
        <w:t xml:space="preserve"> to the </w:t>
      </w:r>
      <w:r w:rsidRPr="00512ECA">
        <w:rPr>
          <w:color w:val="C00000"/>
        </w:rPr>
        <w:t xml:space="preserve">red well </w:t>
      </w:r>
      <w:r w:rsidRPr="00512ECA">
        <w:t>of the</w:t>
      </w:r>
      <w:r>
        <w:t xml:space="preserve"> FilmArray Pouch Loading Station</w:t>
      </w:r>
      <w:r w:rsidRPr="00BE3116">
        <w:t>.</w:t>
      </w:r>
    </w:p>
    <w:p w:rsidR="003D30F2" w:rsidRDefault="003D30F2" w:rsidP="003D30F2">
      <w:pPr>
        <w:pStyle w:val="Caption"/>
        <w:jc w:val="both"/>
        <w:rPr>
          <w:color w:val="8A1F03"/>
        </w:rPr>
      </w:pPr>
    </w:p>
    <w:p w:rsidR="003D30F2" w:rsidRDefault="003D30F2" w:rsidP="003D30F2">
      <w:pPr>
        <w:pStyle w:val="Heading2"/>
        <w:rPr>
          <w:rFonts w:eastAsia="Times New Roman"/>
        </w:rPr>
      </w:pPr>
      <w:bookmarkStart w:id="8" w:name="_Toc482802065"/>
      <w:r>
        <w:rPr>
          <w:rFonts w:eastAsia="Times New Roman"/>
        </w:rPr>
        <w:t>Step 4: Load Sample Mix</w:t>
      </w:r>
      <w:bookmarkEnd w:id="8"/>
    </w:p>
    <w:p w:rsidR="003D30F2" w:rsidRDefault="003D30F2" w:rsidP="003D30F2">
      <w:pPr>
        <w:pStyle w:val="ListParagraph"/>
        <w:numPr>
          <w:ilvl w:val="0"/>
          <w:numId w:val="36"/>
        </w:numPr>
        <w:spacing w:before="120" w:after="120"/>
        <w:contextualSpacing w:val="0"/>
        <w:jc w:val="both"/>
      </w:pPr>
      <w:r w:rsidRPr="002D5CBA">
        <w:t xml:space="preserve">Slowly </w:t>
      </w:r>
      <w:r>
        <w:t xml:space="preserve">twist to </w:t>
      </w:r>
      <w:r w:rsidRPr="00512ECA">
        <w:t xml:space="preserve">unscrew the </w:t>
      </w:r>
      <w:r w:rsidRPr="00512ECA">
        <w:rPr>
          <w:color w:val="C00000"/>
        </w:rPr>
        <w:t xml:space="preserve">Sample Injection Vial </w:t>
      </w:r>
      <w:r w:rsidRPr="00512ECA">
        <w:t>from the red cap</w:t>
      </w:r>
      <w:r>
        <w:t xml:space="preserve"> and wait for 5 seconds with the vial resting in the cap</w:t>
      </w:r>
      <w:r w:rsidRPr="00512ECA">
        <w:t xml:space="preserve">. </w:t>
      </w:r>
    </w:p>
    <w:p w:rsidR="003D30F2" w:rsidRPr="00512ECA" w:rsidRDefault="003D30F2" w:rsidP="003D30F2">
      <w:pPr>
        <w:pStyle w:val="ListParagraph"/>
      </w:pPr>
      <w:r>
        <w:rPr>
          <w:noProof/>
        </w:rPr>
        <w:drawing>
          <wp:inline distT="0" distB="0" distL="0" distR="0" wp14:anchorId="0C6FD852" wp14:editId="39CA6648">
            <wp:extent cx="227965" cy="23696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996B30">
        <w:rPr>
          <w:b/>
          <w:i/>
        </w:rPr>
        <w:t>NOTE: Waiting 5 seconds decreases the risk of dripping and contamination from the sample.</w:t>
      </w:r>
    </w:p>
    <w:p w:rsidR="003D30F2" w:rsidRPr="002E6FED" w:rsidRDefault="003D30F2" w:rsidP="003D30F2">
      <w:pPr>
        <w:pStyle w:val="ListParagraph"/>
        <w:numPr>
          <w:ilvl w:val="0"/>
          <w:numId w:val="24"/>
        </w:numPr>
        <w:spacing w:before="120" w:after="120"/>
        <w:contextualSpacing w:val="0"/>
        <w:jc w:val="both"/>
        <w:rPr>
          <w:rFonts w:ascii="Times New Roman" w:eastAsia="Times New Roman" w:hAnsi="Times New Roman"/>
        </w:rPr>
      </w:pPr>
      <w:r>
        <w:t>Lift</w:t>
      </w:r>
      <w:r w:rsidRPr="00512ECA">
        <w:t xml:space="preserve"> the </w:t>
      </w:r>
      <w:r w:rsidRPr="00996B30">
        <w:rPr>
          <w:color w:val="C00000"/>
        </w:rPr>
        <w:t>Sample Injection Vial</w:t>
      </w:r>
      <w:r w:rsidRPr="00512ECA">
        <w:t>,</w:t>
      </w:r>
      <w:r w:rsidRPr="002D5CBA">
        <w:t xml:space="preserve"> leaving red cap in the well of the </w:t>
      </w:r>
      <w:r>
        <w:t>FilmArray Pouch Loading Station, and i</w:t>
      </w:r>
      <w:r w:rsidRPr="00DC2C22">
        <w:t xml:space="preserve">nsert </w:t>
      </w:r>
      <w:r w:rsidRPr="00512ECA">
        <w:t xml:space="preserve">the </w:t>
      </w:r>
      <w:r w:rsidRPr="00512ECA">
        <w:rPr>
          <w:color w:val="C00000"/>
        </w:rPr>
        <w:t xml:space="preserve">Sample Injection Vial </w:t>
      </w:r>
      <w:r w:rsidRPr="00512ECA">
        <w:t xml:space="preserve">cannula tip into the </w:t>
      </w:r>
      <w:r w:rsidRPr="00512ECA">
        <w:rPr>
          <w:color w:val="C00000"/>
        </w:rPr>
        <w:t xml:space="preserve">pouch sample port </w:t>
      </w:r>
      <w:r w:rsidRPr="00512ECA">
        <w:t>located</w:t>
      </w:r>
      <w:r w:rsidRPr="00DC2C22">
        <w:t xml:space="preserve"> directly below the red arrow of the </w:t>
      </w:r>
      <w:r>
        <w:t>FilmArray Pouch Loading Station</w:t>
      </w:r>
      <w:r w:rsidRPr="00DC2C22">
        <w:t xml:space="preserve">. </w:t>
      </w:r>
    </w:p>
    <w:p w:rsidR="003D30F2" w:rsidRPr="001E2ABC" w:rsidRDefault="003D30F2" w:rsidP="003D30F2">
      <w:pPr>
        <w:pStyle w:val="ListParagraph"/>
        <w:numPr>
          <w:ilvl w:val="0"/>
          <w:numId w:val="24"/>
        </w:numPr>
        <w:spacing w:before="120" w:after="120"/>
        <w:contextualSpacing w:val="0"/>
        <w:jc w:val="both"/>
        <w:rPr>
          <w:rFonts w:ascii="Times New Roman" w:eastAsia="Times New Roman" w:hAnsi="Times New Roman"/>
        </w:rPr>
      </w:pPr>
      <w:r w:rsidRPr="00512ECA">
        <w:rPr>
          <w:noProof/>
        </w:rPr>
        <w:drawing>
          <wp:anchor distT="0" distB="0" distL="114300" distR="114300" simplePos="0" relativeHeight="251663360" behindDoc="0" locked="0" layoutInCell="1" allowOverlap="1" wp14:anchorId="24C29D3E" wp14:editId="59171921">
            <wp:simplePos x="0" y="0"/>
            <wp:positionH relativeFrom="column">
              <wp:posOffset>5289550</wp:posOffset>
            </wp:positionH>
            <wp:positionV relativeFrom="paragraph">
              <wp:posOffset>22860</wp:posOffset>
            </wp:positionV>
            <wp:extent cx="1537335" cy="1453515"/>
            <wp:effectExtent l="0" t="0" r="571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7335" cy="1453515"/>
                    </a:xfrm>
                    <a:prstGeom prst="rect">
                      <a:avLst/>
                    </a:prstGeom>
                  </pic:spPr>
                </pic:pic>
              </a:graphicData>
            </a:graphic>
            <wp14:sizeRelH relativeFrom="margin">
              <wp14:pctWidth>0</wp14:pctWidth>
            </wp14:sizeRelH>
            <wp14:sizeRelV relativeFrom="margin">
              <wp14:pctHeight>0</wp14:pctHeight>
            </wp14:sizeRelV>
          </wp:anchor>
        </w:drawing>
      </w:r>
      <w:r w:rsidRPr="001E2ABC">
        <w:rPr>
          <w:rFonts w:eastAsia="Times New Roman"/>
        </w:rPr>
        <w:t xml:space="preserve">Forcefully push down in a firm and quick motion to puncture seal </w:t>
      </w:r>
      <w:r>
        <w:rPr>
          <w:rFonts w:eastAsia="Times New Roman"/>
        </w:rPr>
        <w:t>(</w:t>
      </w:r>
      <w:r w:rsidRPr="001E2ABC">
        <w:rPr>
          <w:rFonts w:eastAsia="Times New Roman"/>
        </w:rPr>
        <w:t>a faint “pop” is heard</w:t>
      </w:r>
      <w:r>
        <w:rPr>
          <w:rFonts w:eastAsia="Times New Roman"/>
        </w:rPr>
        <w:t>)</w:t>
      </w:r>
      <w:r w:rsidRPr="001E2ABC">
        <w:rPr>
          <w:rFonts w:eastAsia="Times New Roman"/>
        </w:rPr>
        <w:t xml:space="preserve"> and sample is pulled into the pouch by vacuum.</w:t>
      </w:r>
    </w:p>
    <w:p w:rsidR="003D30F2" w:rsidRDefault="003D30F2" w:rsidP="003D30F2">
      <w:pPr>
        <w:pStyle w:val="ListParagraph"/>
        <w:numPr>
          <w:ilvl w:val="0"/>
          <w:numId w:val="24"/>
        </w:numPr>
        <w:spacing w:before="120" w:after="120"/>
        <w:contextualSpacing w:val="0"/>
        <w:jc w:val="both"/>
        <w:rPr>
          <w:rFonts w:eastAsia="Times New Roman"/>
        </w:rPr>
      </w:pPr>
      <w:r w:rsidRPr="001E2ABC">
        <w:rPr>
          <w:rFonts w:eastAsia="Times New Roman"/>
        </w:rPr>
        <w:t xml:space="preserve">Verify that the sample has been loaded. </w:t>
      </w:r>
    </w:p>
    <w:p w:rsidR="003D30F2" w:rsidRDefault="003D30F2" w:rsidP="003D30F2">
      <w:pPr>
        <w:pStyle w:val="ListParagraph"/>
        <w:numPr>
          <w:ilvl w:val="1"/>
          <w:numId w:val="24"/>
        </w:numPr>
        <w:spacing w:before="120" w:after="120"/>
        <w:contextualSpacing w:val="0"/>
        <w:jc w:val="both"/>
        <w:rPr>
          <w:rFonts w:eastAsia="Times New Roman"/>
        </w:rPr>
      </w:pPr>
      <w:r w:rsidRPr="001E2ABC">
        <w:rPr>
          <w:rFonts w:eastAsia="Times New Roman"/>
        </w:rPr>
        <w:t xml:space="preserve">Flip the barcode label down and check to see that fluid has entered the reagent well next to the sample loading port. </w:t>
      </w:r>
    </w:p>
    <w:p w:rsidR="003D30F2" w:rsidRPr="00512ECA" w:rsidRDefault="003D30F2" w:rsidP="003D30F2">
      <w:pPr>
        <w:pStyle w:val="ListParagraph"/>
        <w:numPr>
          <w:ilvl w:val="1"/>
          <w:numId w:val="24"/>
        </w:numPr>
        <w:spacing w:before="120" w:after="120"/>
        <w:contextualSpacing w:val="0"/>
        <w:jc w:val="both"/>
        <w:rPr>
          <w:rFonts w:eastAsia="Times New Roman"/>
        </w:rPr>
      </w:pPr>
      <w:r w:rsidRPr="001E2ABC">
        <w:rPr>
          <w:rFonts w:eastAsia="Times New Roman"/>
        </w:rPr>
        <w:t xml:space="preserve">If the pouch fails to </w:t>
      </w:r>
      <w:r w:rsidRPr="00512ECA">
        <w:rPr>
          <w:rFonts w:eastAsia="Times New Roman"/>
        </w:rPr>
        <w:t xml:space="preserve">pull sample from the </w:t>
      </w:r>
      <w:r w:rsidRPr="00512ECA">
        <w:rPr>
          <w:rFonts w:eastAsia="Times New Roman"/>
          <w:color w:val="C00000"/>
        </w:rPr>
        <w:t>Sample Injection Vial</w:t>
      </w:r>
      <w:r w:rsidRPr="00512ECA">
        <w:rPr>
          <w:rFonts w:eastAsia="Times New Roman"/>
        </w:rPr>
        <w:t xml:space="preserve">, the pouch should be discarded. Retrieve a new pouch and repeat from </w:t>
      </w:r>
      <w:r w:rsidRPr="00512ECA">
        <w:rPr>
          <w:rFonts w:eastAsia="Times New Roman"/>
          <w:i/>
        </w:rPr>
        <w:t>Step 1: Prepare Pouch</w:t>
      </w:r>
      <w:r w:rsidRPr="00512ECA">
        <w:rPr>
          <w:rFonts w:eastAsia="Times New Roman"/>
        </w:rPr>
        <w:t>.</w:t>
      </w:r>
    </w:p>
    <w:p w:rsidR="003D30F2" w:rsidRPr="002D5CBA" w:rsidRDefault="003D30F2" w:rsidP="003D30F2">
      <w:pPr>
        <w:pStyle w:val="ListParagraph"/>
        <w:numPr>
          <w:ilvl w:val="0"/>
          <w:numId w:val="24"/>
        </w:numPr>
        <w:spacing w:before="120" w:after="120"/>
        <w:contextualSpacing w:val="0"/>
        <w:jc w:val="both"/>
      </w:pPr>
      <w:r w:rsidRPr="00512ECA">
        <w:rPr>
          <w:color w:val="000000"/>
        </w:rPr>
        <w:t xml:space="preserve">Discard the </w:t>
      </w:r>
      <w:r w:rsidRPr="00512ECA">
        <w:rPr>
          <w:color w:val="C00000"/>
        </w:rPr>
        <w:t xml:space="preserve">Sample Injection Vial </w:t>
      </w:r>
      <w:r w:rsidRPr="00512ECA">
        <w:rPr>
          <w:color w:val="000000"/>
        </w:rPr>
        <w:t xml:space="preserve">and the </w:t>
      </w:r>
      <w:r w:rsidRPr="00512ECA">
        <w:rPr>
          <w:color w:val="0070C0"/>
        </w:rPr>
        <w:t>Hydration Injection Vial</w:t>
      </w:r>
      <w:r w:rsidRPr="00512ECA" w:rsidDel="00F35601">
        <w:rPr>
          <w:color w:val="0070C0"/>
        </w:rPr>
        <w:t xml:space="preserve"> </w:t>
      </w:r>
      <w:r w:rsidRPr="00512ECA">
        <w:t>in</w:t>
      </w:r>
      <w:r w:rsidRPr="00512ECA">
        <w:rPr>
          <w:color w:val="000000"/>
        </w:rPr>
        <w:t xml:space="preserve"> appropriate</w:t>
      </w:r>
      <w:r w:rsidRPr="002D5CBA">
        <w:t xml:space="preserve"> biohazard </w:t>
      </w:r>
      <w:r w:rsidRPr="001E2ABC">
        <w:rPr>
          <w:color w:val="000000"/>
        </w:rPr>
        <w:t xml:space="preserve">sharps </w:t>
      </w:r>
      <w:r w:rsidRPr="002D5CBA">
        <w:t>container.</w:t>
      </w:r>
      <w:r w:rsidRPr="00FF1A7C">
        <w:rPr>
          <w:noProof/>
        </w:rPr>
        <w:t xml:space="preserve"> </w:t>
      </w:r>
    </w:p>
    <w:p w:rsidR="003D30F2" w:rsidRDefault="003D30F2" w:rsidP="003D30F2">
      <w:pPr>
        <w:pStyle w:val="ListParagraph"/>
        <w:numPr>
          <w:ilvl w:val="0"/>
          <w:numId w:val="24"/>
        </w:numPr>
        <w:spacing w:before="120" w:after="120"/>
        <w:contextualSpacing w:val="0"/>
        <w:jc w:val="both"/>
        <w:rPr>
          <w:rFonts w:eastAsia="Times New Roman"/>
        </w:rPr>
      </w:pPr>
      <w:r w:rsidRPr="001E2ABC">
        <w:rPr>
          <w:rFonts w:eastAsia="Times New Roman"/>
        </w:rPr>
        <w:t xml:space="preserve">Record the Sample ID in the provided area on the pouch label (or affix a barcoded Sample ID) and remove the pouch from the </w:t>
      </w:r>
      <w:r>
        <w:rPr>
          <w:rFonts w:eastAsia="Times New Roman"/>
        </w:rPr>
        <w:t>FilmArray Pouch Loading Station</w:t>
      </w:r>
      <w:r w:rsidRPr="001E2ABC">
        <w:rPr>
          <w:rFonts w:eastAsia="Times New Roman"/>
        </w:rPr>
        <w:t>.</w:t>
      </w:r>
    </w:p>
    <w:p w:rsidR="003D30F2" w:rsidRPr="001E2ABC" w:rsidRDefault="003D30F2" w:rsidP="003D30F2">
      <w:pPr>
        <w:pStyle w:val="ListParagraph"/>
        <w:rPr>
          <w:rFonts w:eastAsia="Times New Roman"/>
        </w:rPr>
      </w:pPr>
    </w:p>
    <w:p w:rsidR="003D30F2" w:rsidRDefault="003D30F2" w:rsidP="003D30F2">
      <w:pPr>
        <w:pStyle w:val="Heading2"/>
        <w:rPr>
          <w:rFonts w:eastAsia="Times New Roman"/>
        </w:rPr>
      </w:pPr>
      <w:bookmarkStart w:id="9" w:name="_Toc482802066"/>
      <w:r>
        <w:rPr>
          <w:rFonts w:eastAsia="Times New Roman"/>
        </w:rPr>
        <w:t>Step 5: Run Pouch</w:t>
      </w:r>
      <w:bookmarkEnd w:id="9"/>
    </w:p>
    <w:p w:rsidR="003D30F2" w:rsidRPr="002D5CBA" w:rsidRDefault="003D30F2" w:rsidP="003D30F2">
      <w:r w:rsidRPr="002D5CBA">
        <w:t>The FilmArray</w:t>
      </w:r>
      <w:r w:rsidRPr="008230F5">
        <w:rPr>
          <w:rFonts w:cs="Arial"/>
          <w:vertAlign w:val="superscript"/>
        </w:rPr>
        <w:t>®</w:t>
      </w:r>
      <w:r w:rsidRPr="002D5CBA">
        <w:t xml:space="preserve"> </w:t>
      </w:r>
      <w:r>
        <w:t>Software</w:t>
      </w:r>
      <w:r w:rsidRPr="002D5CBA">
        <w:t xml:space="preserve"> includes step-by-step on-screen instructions that guide the operator through performing a run. Brief instructions for FilmArray 2.0 and FilmArray Torch </w:t>
      </w:r>
      <w:r>
        <w:t>system</w:t>
      </w:r>
      <w:r w:rsidRPr="002D5CBA">
        <w:t xml:space="preserve">s are given below. Refer to the </w:t>
      </w:r>
      <w:r w:rsidRPr="002D5CBA">
        <w:rPr>
          <w:iCs/>
        </w:rPr>
        <w:t xml:space="preserve">appropriate </w:t>
      </w:r>
      <w:r w:rsidRPr="002D5CBA">
        <w:t>FilmArray Operator’s Manual for more detailed instructions.</w:t>
      </w:r>
    </w:p>
    <w:p w:rsidR="003D30F2" w:rsidRPr="002D5CBA" w:rsidRDefault="003D30F2" w:rsidP="003D30F2">
      <w:pPr>
        <w:pStyle w:val="Heading3"/>
        <w:rPr>
          <w:rFonts w:eastAsia="Calibri"/>
        </w:rPr>
      </w:pPr>
      <w:r w:rsidRPr="002D5CBA">
        <w:rPr>
          <w:rFonts w:eastAsia="Calibri"/>
        </w:rPr>
        <w:t>FilmArray 2.0</w:t>
      </w:r>
    </w:p>
    <w:p w:rsidR="003D30F2" w:rsidRPr="002D5CBA" w:rsidRDefault="003D30F2" w:rsidP="003D30F2">
      <w:pPr>
        <w:pStyle w:val="ListParagraph"/>
        <w:numPr>
          <w:ilvl w:val="0"/>
          <w:numId w:val="37"/>
        </w:numPr>
        <w:spacing w:before="120" w:after="120"/>
        <w:contextualSpacing w:val="0"/>
        <w:jc w:val="both"/>
      </w:pPr>
      <w:r w:rsidRPr="002D5CBA">
        <w:t xml:space="preserve">Ensure that the FilmArray </w:t>
      </w:r>
      <w:r>
        <w:t>2.0 system</w:t>
      </w:r>
      <w:r w:rsidRPr="002D5CBA">
        <w:t xml:space="preserve"> </w:t>
      </w:r>
      <w:r>
        <w:t xml:space="preserve">(instrument and computer) </w:t>
      </w:r>
      <w:r w:rsidRPr="002D5CBA">
        <w:t>is powered on and the software is launched.</w:t>
      </w:r>
    </w:p>
    <w:p w:rsidR="003D30F2" w:rsidRPr="002D5CBA" w:rsidRDefault="003D30F2" w:rsidP="003D30F2">
      <w:pPr>
        <w:pStyle w:val="ListParagraph"/>
        <w:numPr>
          <w:ilvl w:val="0"/>
          <w:numId w:val="24"/>
        </w:numPr>
        <w:spacing w:before="120" w:after="120"/>
        <w:contextualSpacing w:val="0"/>
        <w:jc w:val="both"/>
      </w:pPr>
      <w:r w:rsidRPr="002D5CBA">
        <w:t>Follow on-screen instructions and procedures described in the</w:t>
      </w:r>
      <w:r>
        <w:t xml:space="preserve"> </w:t>
      </w:r>
      <w:r w:rsidRPr="002D5CBA">
        <w:t>Operator’s Manual to place the pouch in an instrument, enter pouch, sample</w:t>
      </w:r>
      <w:r>
        <w:t>,</w:t>
      </w:r>
      <w:r w:rsidRPr="002D5CBA">
        <w:t xml:space="preserve"> and operator information. </w:t>
      </w:r>
    </w:p>
    <w:p w:rsidR="003D30F2" w:rsidRDefault="003D30F2" w:rsidP="003D30F2">
      <w:pPr>
        <w:pStyle w:val="ListParagraph"/>
        <w:numPr>
          <w:ilvl w:val="0"/>
          <w:numId w:val="24"/>
        </w:numPr>
        <w:spacing w:before="120" w:after="120"/>
        <w:contextualSpacing w:val="0"/>
        <w:jc w:val="both"/>
      </w:pPr>
      <w:r w:rsidRPr="002D5CBA">
        <w:t xml:space="preserve">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w:t>
      </w:r>
      <w:r w:rsidRPr="001E2ABC">
        <w:t>To reduce data entry errors, it is strongly recommended that the pouch information be entered by scanning the barcode.</w:t>
      </w:r>
      <w:r w:rsidRPr="002D5CBA" w:rsidDel="00764F19">
        <w:t xml:space="preserve"> </w:t>
      </w:r>
    </w:p>
    <w:p w:rsidR="003D30F2" w:rsidRPr="00C27FD4" w:rsidRDefault="003D30F2" w:rsidP="003D30F2">
      <w:pPr>
        <w:rPr>
          <w:szCs w:val="16"/>
        </w:rPr>
      </w:pPr>
      <w:r w:rsidRPr="0003277B">
        <w:rPr>
          <w:noProof/>
        </w:rPr>
        <w:drawing>
          <wp:inline distT="0" distB="0" distL="0" distR="0" wp14:anchorId="662BFD5F" wp14:editId="40A4256A">
            <wp:extent cx="227965" cy="236963"/>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F35074">
        <w:rPr>
          <w:b/>
          <w:i/>
        </w:rPr>
        <w:t>NOTE: When selecting a Pouch Type manually, ensure that the Pouch Type matches the label on the FilmArray RP2 pouch.</w:t>
      </w:r>
    </w:p>
    <w:p w:rsidR="003D30F2" w:rsidRPr="002D5CBA" w:rsidRDefault="003D30F2" w:rsidP="003D30F2">
      <w:pPr>
        <w:pStyle w:val="ListParagraph"/>
        <w:numPr>
          <w:ilvl w:val="0"/>
          <w:numId w:val="24"/>
        </w:numPr>
        <w:spacing w:before="120" w:after="120"/>
        <w:contextualSpacing w:val="0"/>
        <w:jc w:val="both"/>
      </w:pPr>
      <w:r w:rsidRPr="002D5CBA">
        <w:t>Enter the Sample ID. The Sample ID can be entered manually or scanned in by using the barcode scanner when a barcoded Sample ID is used.</w:t>
      </w:r>
    </w:p>
    <w:p w:rsidR="003D30F2" w:rsidRPr="001E2ABC" w:rsidRDefault="003D30F2" w:rsidP="003D30F2">
      <w:pPr>
        <w:pStyle w:val="ListParagraph"/>
        <w:numPr>
          <w:ilvl w:val="0"/>
          <w:numId w:val="24"/>
        </w:numPr>
        <w:spacing w:before="120" w:after="120"/>
        <w:contextualSpacing w:val="0"/>
        <w:jc w:val="both"/>
        <w:rPr>
          <w:szCs w:val="16"/>
        </w:rPr>
      </w:pPr>
      <w:r w:rsidRPr="001E2ABC">
        <w:rPr>
          <w:szCs w:val="16"/>
        </w:rPr>
        <w:t>If necessary, select and/or confirm the appropriate protocol for your sample type from the Protocol drop down list.</w:t>
      </w:r>
      <w:r>
        <w:rPr>
          <w:szCs w:val="16"/>
        </w:rPr>
        <w:t xml:space="preserve"> The FilmArray RP2 has a single NPS2 protocol available in the drop down list.</w:t>
      </w:r>
    </w:p>
    <w:p w:rsidR="003D30F2" w:rsidRPr="00726FD8" w:rsidRDefault="003D30F2" w:rsidP="003D30F2">
      <w:pPr>
        <w:pStyle w:val="ListParagraph"/>
        <w:numPr>
          <w:ilvl w:val="0"/>
          <w:numId w:val="24"/>
        </w:numPr>
        <w:spacing w:before="120" w:after="120"/>
        <w:contextualSpacing w:val="0"/>
        <w:jc w:val="both"/>
        <w:rPr>
          <w:szCs w:val="16"/>
        </w:rPr>
      </w:pPr>
      <w:r w:rsidRPr="002D5CBA">
        <w:t>Enter a user name and password in the Name and Password fields.</w:t>
      </w:r>
    </w:p>
    <w:p w:rsidR="003D30F2" w:rsidRPr="001E2ABC" w:rsidRDefault="003D30F2" w:rsidP="003D30F2">
      <w:pPr>
        <w:pStyle w:val="ListParagraph"/>
        <w:ind w:left="0"/>
        <w:rPr>
          <w:szCs w:val="16"/>
        </w:rPr>
      </w:pPr>
      <w:r>
        <w:rPr>
          <w:noProof/>
        </w:rPr>
        <w:drawing>
          <wp:inline distT="0" distB="0" distL="0" distR="0" wp14:anchorId="743C2FAB" wp14:editId="43FD9CFF">
            <wp:extent cx="227965" cy="236963"/>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2D5CBA">
        <w:rPr>
          <w:b/>
          <w:i/>
        </w:rPr>
        <w:t>NOTE: The font color of the username is red until the user name is recognized by the software.</w:t>
      </w:r>
    </w:p>
    <w:p w:rsidR="003D30F2" w:rsidRPr="002D5CBA" w:rsidRDefault="003D30F2" w:rsidP="003D30F2">
      <w:pPr>
        <w:pStyle w:val="ListParagraph"/>
        <w:numPr>
          <w:ilvl w:val="0"/>
          <w:numId w:val="24"/>
        </w:numPr>
        <w:spacing w:before="120" w:after="120"/>
        <w:contextualSpacing w:val="0"/>
        <w:jc w:val="both"/>
      </w:pPr>
      <w:r w:rsidRPr="002D5CBA">
        <w:t>Review the entered run information on the screen. If correct, select Start Run.</w:t>
      </w:r>
    </w:p>
    <w:p w:rsidR="003D30F2" w:rsidRDefault="003D30F2" w:rsidP="003D30F2">
      <w:pPr>
        <w:pStyle w:val="ListParagraph"/>
      </w:pPr>
      <w:r w:rsidRPr="00726FD8">
        <w:t>Once the run has started, the screen displays a list of the steps being performed by the instrument and the number of minutes remaining in the run.</w:t>
      </w:r>
    </w:p>
    <w:p w:rsidR="003D30F2" w:rsidRPr="00637D12" w:rsidRDefault="003D30F2" w:rsidP="003D30F2">
      <w:pPr>
        <w:rPr>
          <w:b/>
          <w:i/>
        </w:rPr>
      </w:pPr>
      <w:r>
        <w:rPr>
          <w:noProof/>
        </w:rPr>
        <w:drawing>
          <wp:inline distT="0" distB="0" distL="0" distR="0" wp14:anchorId="737CAF6F" wp14:editId="11633C7F">
            <wp:extent cx="227965" cy="236963"/>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637D12">
        <w:rPr>
          <w:b/>
          <w:i/>
        </w:rPr>
        <w:t>NOTE:  The bead-beater apparatus can be heard as a high-pitched noise during the first minute of operation.</w:t>
      </w:r>
    </w:p>
    <w:p w:rsidR="003D30F2" w:rsidRPr="002D5CBA" w:rsidRDefault="003D30F2" w:rsidP="003D30F2">
      <w:pPr>
        <w:pStyle w:val="ListParagraph"/>
        <w:numPr>
          <w:ilvl w:val="0"/>
          <w:numId w:val="24"/>
        </w:numPr>
        <w:spacing w:before="120" w:after="120"/>
        <w:contextualSpacing w:val="0"/>
        <w:jc w:val="both"/>
      </w:pPr>
      <w:r w:rsidRPr="002D5CBA">
        <w:t>When the run is finished, follow the on-screen instructions to remove the pouch</w:t>
      </w:r>
      <w:r>
        <w:t>,</w:t>
      </w:r>
      <w:r w:rsidRPr="002D5CBA">
        <w:t xml:space="preserve"> </w:t>
      </w:r>
      <w:r>
        <w:t>then</w:t>
      </w:r>
      <w:r w:rsidRPr="002D5CBA">
        <w:t xml:space="preserve"> immediately discard </w:t>
      </w:r>
      <w:r>
        <w:t xml:space="preserve">it </w:t>
      </w:r>
      <w:r w:rsidRPr="002D5CBA">
        <w:t>in a biohazard</w:t>
      </w:r>
      <w:r>
        <w:t xml:space="preserve"> waste</w:t>
      </w:r>
      <w:r w:rsidRPr="002D5CBA">
        <w:t xml:space="preserve"> container.</w:t>
      </w:r>
    </w:p>
    <w:p w:rsidR="003D30F2" w:rsidRPr="002D5CBA" w:rsidRDefault="003D30F2" w:rsidP="003D30F2">
      <w:pPr>
        <w:pStyle w:val="ListParagraph"/>
        <w:numPr>
          <w:ilvl w:val="0"/>
          <w:numId w:val="24"/>
        </w:numPr>
        <w:spacing w:before="120" w:after="120"/>
        <w:contextualSpacing w:val="0"/>
        <w:jc w:val="both"/>
      </w:pPr>
      <w:r w:rsidRPr="002D5CBA">
        <w:t>The run file is automatically saved in the FilmArray database</w:t>
      </w:r>
      <w:r>
        <w:t>,</w:t>
      </w:r>
      <w:r w:rsidRPr="002D5CBA">
        <w:t xml:space="preserve"> and the </w:t>
      </w:r>
      <w:r>
        <w:t>test</w:t>
      </w:r>
      <w:r w:rsidRPr="002D5CBA">
        <w:t xml:space="preserve"> report can be viewed, printed, and/or saved as a PDF file.</w:t>
      </w:r>
    </w:p>
    <w:p w:rsidR="003D30F2" w:rsidRPr="002D5CBA" w:rsidRDefault="003D30F2" w:rsidP="003D30F2">
      <w:pPr>
        <w:pStyle w:val="Heading3"/>
        <w:rPr>
          <w:rFonts w:eastAsia="Calibri"/>
        </w:rPr>
      </w:pPr>
      <w:r w:rsidRPr="002D5CBA">
        <w:rPr>
          <w:rFonts w:eastAsia="Calibri"/>
        </w:rPr>
        <w:t>FilmArray Torch</w:t>
      </w:r>
    </w:p>
    <w:p w:rsidR="003D30F2" w:rsidRPr="002D5CBA" w:rsidRDefault="003D30F2" w:rsidP="003D30F2">
      <w:pPr>
        <w:pStyle w:val="ListParagraph"/>
        <w:numPr>
          <w:ilvl w:val="0"/>
          <w:numId w:val="32"/>
        </w:numPr>
        <w:spacing w:before="120" w:after="120"/>
        <w:contextualSpacing w:val="0"/>
        <w:jc w:val="both"/>
      </w:pPr>
      <w:r w:rsidRPr="002D5CBA">
        <w:t xml:space="preserve">Ensure that the FilmArray Torch </w:t>
      </w:r>
      <w:r>
        <w:t>system</w:t>
      </w:r>
      <w:r w:rsidRPr="002D5CBA">
        <w:t xml:space="preserve"> is </w:t>
      </w:r>
      <w:r>
        <w:t xml:space="preserve">powered </w:t>
      </w:r>
      <w:r w:rsidRPr="002D5CBA">
        <w:t>on.</w:t>
      </w:r>
    </w:p>
    <w:p w:rsidR="003D30F2" w:rsidRPr="002D5CBA" w:rsidRDefault="003D30F2" w:rsidP="003D30F2">
      <w:pPr>
        <w:pStyle w:val="ListParagraph"/>
        <w:numPr>
          <w:ilvl w:val="0"/>
          <w:numId w:val="32"/>
        </w:numPr>
        <w:spacing w:before="120" w:after="120"/>
        <w:contextualSpacing w:val="0"/>
        <w:jc w:val="both"/>
      </w:pPr>
      <w:r w:rsidRPr="002D5CBA">
        <w:t>Select an available Module</w:t>
      </w:r>
      <w:r>
        <w:t xml:space="preserve"> (instrument)</w:t>
      </w:r>
      <w:r w:rsidRPr="002D5CBA">
        <w:t xml:space="preserve"> on the touch screen</w:t>
      </w:r>
      <w:r>
        <w:t xml:space="preserve"> or s</w:t>
      </w:r>
      <w:r w:rsidRPr="002D5CBA">
        <w:t xml:space="preserve">can the barcode on the FilmArray pouch using the barcode scanner. </w:t>
      </w:r>
    </w:p>
    <w:p w:rsidR="003D30F2" w:rsidRPr="00C27FD4" w:rsidRDefault="003D30F2" w:rsidP="003D30F2">
      <w:pPr>
        <w:pStyle w:val="ListParagraph"/>
        <w:numPr>
          <w:ilvl w:val="0"/>
          <w:numId w:val="32"/>
        </w:numPr>
        <w:spacing w:before="120" w:after="120"/>
        <w:contextualSpacing w:val="0"/>
        <w:jc w:val="both"/>
      </w:pPr>
      <w:r w:rsidRPr="002D5CBA">
        <w:t xml:space="preserve">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w:t>
      </w:r>
      <w:r w:rsidRPr="001E2ABC">
        <w:t>To reduce data entry errors, it is strongly recommended that the pouch information be entered by scanning the barcode.</w:t>
      </w:r>
    </w:p>
    <w:p w:rsidR="003D30F2" w:rsidRPr="00C27FD4" w:rsidRDefault="003D30F2" w:rsidP="003D30F2">
      <w:pPr>
        <w:rPr>
          <w:szCs w:val="16"/>
        </w:rPr>
      </w:pPr>
      <w:r w:rsidRPr="0003277B">
        <w:rPr>
          <w:noProof/>
        </w:rPr>
        <w:drawing>
          <wp:inline distT="0" distB="0" distL="0" distR="0" wp14:anchorId="2714A1B0" wp14:editId="5D8BB6B3">
            <wp:extent cx="227965" cy="236963"/>
            <wp:effectExtent l="0" t="0" r="63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F35074">
        <w:rPr>
          <w:b/>
          <w:i/>
        </w:rPr>
        <w:t>NOTE: When selecting a Pouch Type manually, ensure that the Pouch Type matches the label on the FilmArray RP2 pouch.</w:t>
      </w:r>
    </w:p>
    <w:p w:rsidR="003D30F2" w:rsidRPr="002D5CBA" w:rsidRDefault="003D30F2" w:rsidP="003D30F2">
      <w:pPr>
        <w:pStyle w:val="ListParagraph"/>
        <w:numPr>
          <w:ilvl w:val="0"/>
          <w:numId w:val="32"/>
        </w:numPr>
        <w:spacing w:before="120" w:after="120"/>
        <w:contextualSpacing w:val="0"/>
        <w:jc w:val="both"/>
      </w:pPr>
      <w:r w:rsidRPr="002D5CBA">
        <w:t>Enter the Sample ID. The Sample ID can be entered manually or scanned in by using the barcode scanner when a barcoded Sample ID is used.</w:t>
      </w:r>
    </w:p>
    <w:p w:rsidR="003D30F2" w:rsidRPr="002D5CBA" w:rsidRDefault="003D30F2" w:rsidP="003D30F2">
      <w:pPr>
        <w:pStyle w:val="ListParagraph"/>
        <w:numPr>
          <w:ilvl w:val="0"/>
          <w:numId w:val="32"/>
        </w:numPr>
        <w:spacing w:before="120" w:after="120"/>
        <w:contextualSpacing w:val="0"/>
        <w:jc w:val="both"/>
      </w:pPr>
      <w:r w:rsidRPr="002D5CBA">
        <w:t xml:space="preserve">Insert the pouch into the </w:t>
      </w:r>
      <w:r>
        <w:t>available Module (instrument)</w:t>
      </w:r>
      <w:r w:rsidRPr="002D5CBA">
        <w:t>.</w:t>
      </w:r>
    </w:p>
    <w:p w:rsidR="003D30F2" w:rsidRPr="002D5CBA" w:rsidRDefault="003D30F2" w:rsidP="003D30F2">
      <w:pPr>
        <w:pStyle w:val="ListParagraph"/>
        <w:numPr>
          <w:ilvl w:val="1"/>
          <w:numId w:val="32"/>
        </w:numPr>
        <w:spacing w:before="120" w:after="120"/>
        <w:contextualSpacing w:val="0"/>
        <w:jc w:val="both"/>
      </w:pPr>
      <w:r w:rsidRPr="002D5CBA">
        <w:t xml:space="preserve">Ensure that the pouch fitment label is lying flat on top of pouch and not folded over. As the pouch is inserted, the </w:t>
      </w:r>
      <w:r>
        <w:t>Module (instrument)</w:t>
      </w:r>
      <w:r w:rsidRPr="002D5CBA">
        <w:t xml:space="preserve"> will grab onto the pouch and pull it into the chamber.</w:t>
      </w:r>
    </w:p>
    <w:p w:rsidR="003D30F2" w:rsidRPr="008371EF" w:rsidRDefault="003D30F2" w:rsidP="003D30F2">
      <w:pPr>
        <w:pStyle w:val="ListParagraph"/>
        <w:numPr>
          <w:ilvl w:val="0"/>
          <w:numId w:val="32"/>
        </w:numPr>
        <w:spacing w:before="120" w:after="120"/>
        <w:contextualSpacing w:val="0"/>
        <w:jc w:val="both"/>
        <w:rPr>
          <w:szCs w:val="16"/>
        </w:rPr>
      </w:pPr>
      <w:r>
        <w:rPr>
          <w:szCs w:val="16"/>
        </w:rPr>
        <w:t xml:space="preserve">If necessary, </w:t>
      </w:r>
      <w:r w:rsidRPr="008371EF">
        <w:rPr>
          <w:szCs w:val="16"/>
        </w:rPr>
        <w:t>select and/or confirm the appropriate protocol for your sample type from the Protocol drop down list.</w:t>
      </w:r>
      <w:r>
        <w:rPr>
          <w:szCs w:val="16"/>
        </w:rPr>
        <w:t xml:space="preserve"> The FilmArray RP2 has a single NPS2 protocol available in the drop down list.</w:t>
      </w:r>
    </w:p>
    <w:p w:rsidR="003D30F2" w:rsidRPr="002D5CBA" w:rsidRDefault="003D30F2" w:rsidP="003D30F2">
      <w:pPr>
        <w:pStyle w:val="ListParagraph"/>
        <w:numPr>
          <w:ilvl w:val="0"/>
          <w:numId w:val="32"/>
        </w:numPr>
        <w:spacing w:before="120" w:after="120"/>
        <w:contextualSpacing w:val="0"/>
        <w:jc w:val="both"/>
      </w:pPr>
      <w:r w:rsidRPr="002D5CBA">
        <w:t>Enter operator user name and password, then select Next.</w:t>
      </w:r>
    </w:p>
    <w:p w:rsidR="003D30F2" w:rsidRPr="002D5CBA" w:rsidRDefault="003D30F2" w:rsidP="003D30F2">
      <w:pPr>
        <w:rPr>
          <w:b/>
          <w:i/>
        </w:rPr>
      </w:pPr>
      <w:r>
        <w:rPr>
          <w:noProof/>
        </w:rPr>
        <w:drawing>
          <wp:inline distT="0" distB="0" distL="0" distR="0" wp14:anchorId="53ECE218" wp14:editId="41AA903B">
            <wp:extent cx="227965" cy="236963"/>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2D5CBA">
        <w:rPr>
          <w:b/>
          <w:i/>
        </w:rPr>
        <w:t>NOTE: The font color of the username is red until the user name is recognized by the software.</w:t>
      </w:r>
    </w:p>
    <w:p w:rsidR="003D30F2" w:rsidRPr="002D5CBA" w:rsidRDefault="003D30F2" w:rsidP="003D30F2">
      <w:pPr>
        <w:pStyle w:val="ListParagraph"/>
        <w:numPr>
          <w:ilvl w:val="0"/>
          <w:numId w:val="24"/>
        </w:numPr>
        <w:spacing w:before="120" w:after="120"/>
        <w:contextualSpacing w:val="0"/>
        <w:jc w:val="both"/>
      </w:pPr>
      <w:r w:rsidRPr="002D5CBA">
        <w:t>Review the entered run information on the screen. If correct, select Start Run.</w:t>
      </w:r>
    </w:p>
    <w:p w:rsidR="003D30F2" w:rsidRPr="002D5CBA" w:rsidRDefault="003D30F2" w:rsidP="003D30F2">
      <w:pPr>
        <w:pStyle w:val="ListParagraph"/>
      </w:pPr>
      <w:r w:rsidRPr="002D5CBA">
        <w:t xml:space="preserve">Once the run has started, the screen displays a list of the steps being performed by the </w:t>
      </w:r>
      <w:r>
        <w:t>Module (instrument)</w:t>
      </w:r>
      <w:r w:rsidRPr="002D5CBA">
        <w:t xml:space="preserve"> and the number of minutes remaining in the run.</w:t>
      </w:r>
    </w:p>
    <w:p w:rsidR="003D30F2" w:rsidRPr="002D5CBA" w:rsidRDefault="003D30F2" w:rsidP="003D30F2">
      <w:pPr>
        <w:rPr>
          <w:b/>
          <w:i/>
        </w:rPr>
      </w:pPr>
      <w:r>
        <w:rPr>
          <w:noProof/>
        </w:rPr>
        <w:drawing>
          <wp:inline distT="0" distB="0" distL="0" distR="0" wp14:anchorId="476BF549" wp14:editId="13ADC0CC">
            <wp:extent cx="227965" cy="236963"/>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52" cy="239132"/>
                    </a:xfrm>
                    <a:prstGeom prst="rect">
                      <a:avLst/>
                    </a:prstGeom>
                  </pic:spPr>
                </pic:pic>
              </a:graphicData>
            </a:graphic>
          </wp:inline>
        </w:drawing>
      </w:r>
      <w:r w:rsidRPr="002D5CBA">
        <w:rPr>
          <w:b/>
          <w:i/>
        </w:rPr>
        <w:t>NOTE:  The bead-beater apparatus can be heard as a high-pitched noise during the first minute of operation.</w:t>
      </w:r>
    </w:p>
    <w:p w:rsidR="003D30F2" w:rsidRPr="00757D22" w:rsidRDefault="003D30F2" w:rsidP="003D30F2">
      <w:pPr>
        <w:pStyle w:val="ListParagraph"/>
        <w:numPr>
          <w:ilvl w:val="0"/>
          <w:numId w:val="24"/>
        </w:numPr>
        <w:spacing w:before="120" w:after="120"/>
        <w:contextualSpacing w:val="0"/>
        <w:jc w:val="both"/>
      </w:pPr>
      <w:r w:rsidRPr="002D5CBA">
        <w:t xml:space="preserve">At the end of the run, </w:t>
      </w:r>
      <w:r>
        <w:t>remove the partially ejected pouch, then</w:t>
      </w:r>
      <w:r w:rsidRPr="002D5CBA">
        <w:t xml:space="preserve"> immediately discard </w:t>
      </w:r>
      <w:r>
        <w:t xml:space="preserve">it </w:t>
      </w:r>
      <w:r w:rsidRPr="002D5CBA">
        <w:t>in a biohazard</w:t>
      </w:r>
      <w:r>
        <w:t xml:space="preserve"> waste</w:t>
      </w:r>
      <w:r w:rsidRPr="002D5CBA">
        <w:t xml:space="preserve"> container.</w:t>
      </w:r>
    </w:p>
    <w:p w:rsidR="00B9018F" w:rsidRPr="00743426" w:rsidRDefault="003D30F2" w:rsidP="003D30F2">
      <w:pPr>
        <w:spacing w:line="240" w:lineRule="auto"/>
        <w:rPr>
          <w:rFonts w:ascii="Century Schoolbook" w:hAnsi="Century Schoolbook"/>
          <w:sz w:val="24"/>
          <w:szCs w:val="24"/>
        </w:rPr>
      </w:pPr>
      <w:r w:rsidRPr="00757D22">
        <w:t xml:space="preserve">The run file is automatically saved in the FilmArray database, and the </w:t>
      </w:r>
      <w:r>
        <w:t>test</w:t>
      </w:r>
      <w:r w:rsidRPr="00757D22">
        <w:t xml:space="preserve"> report can be viewed, printed, and/or saved as a PDF file.</w:t>
      </w:r>
      <w:r w:rsidR="00B9018F" w:rsidRPr="00743426">
        <w:rPr>
          <w:rFonts w:ascii="Century Schoolbook" w:hAnsi="Century Schoolbook"/>
          <w:sz w:val="24"/>
          <w:szCs w:val="24"/>
        </w:rPr>
        <w:br/>
      </w:r>
    </w:p>
    <w:p w:rsidR="000D1E40" w:rsidRPr="00743426" w:rsidRDefault="003D30F2" w:rsidP="00A661F8">
      <w:pPr>
        <w:pStyle w:val="Heading3"/>
        <w:rPr>
          <w:rFonts w:ascii="Century Schoolbook" w:hAnsi="Century Schoolbook"/>
          <w:szCs w:val="24"/>
        </w:rPr>
      </w:pPr>
      <w:r w:rsidRPr="00743426">
        <w:rPr>
          <w:rFonts w:ascii="Century Schoolbook" w:hAnsi="Century Schoolbook"/>
          <w:szCs w:val="24"/>
        </w:rPr>
        <w:t>Inte</w:t>
      </w:r>
      <w:r>
        <w:rPr>
          <w:rFonts w:ascii="Century Schoolbook" w:hAnsi="Century Schoolbook"/>
          <w:szCs w:val="24"/>
        </w:rPr>
        <w:t>rpr</w:t>
      </w:r>
      <w:r w:rsidRPr="00743426">
        <w:rPr>
          <w:rFonts w:ascii="Century Schoolbook" w:hAnsi="Century Schoolbook"/>
          <w:szCs w:val="24"/>
        </w:rPr>
        <w:t>etation</w:t>
      </w:r>
    </w:p>
    <w:p w:rsidR="003D30F2" w:rsidRPr="002D5CBA" w:rsidRDefault="003D30F2" w:rsidP="003D30F2">
      <w:bookmarkStart w:id="10" w:name="_Toc275868601"/>
      <w:bookmarkStart w:id="11" w:name="_Toc275869284"/>
      <w:bookmarkStart w:id="12" w:name="_Toc275869720"/>
      <w:bookmarkStart w:id="13" w:name="_Toc290465405"/>
      <w:bookmarkStart w:id="14" w:name="_Toc315098867"/>
      <w:bookmarkStart w:id="15" w:name="_Toc275868599"/>
      <w:bookmarkStart w:id="16" w:name="_Toc275869282"/>
      <w:bookmarkStart w:id="17" w:name="_Toc275869718"/>
      <w:bookmarkStart w:id="18" w:name="_Toc290465403"/>
      <w:bookmarkStart w:id="19" w:name="_Toc315098865"/>
      <w:bookmarkStart w:id="20" w:name="_Toc341182864"/>
      <w:bookmarkStart w:id="21" w:name="_Toc410637850"/>
      <w:r w:rsidRPr="002D5CBA">
        <w:t xml:space="preserve">When </w:t>
      </w:r>
      <w:r>
        <w:t>PCR2</w:t>
      </w:r>
      <w:r w:rsidRPr="002D5CBA">
        <w:t xml:space="preserve"> is complete, the FilmArray </w:t>
      </w:r>
      <w:r>
        <w:t>instrument</w:t>
      </w:r>
      <w:r w:rsidRPr="002D5CBA">
        <w:t xml:space="preserve"> performs a high resolution DNA melting analysis on the PCR products and measures the fluorescence signal generated in each well (for more information see appropriate FilmArray Operator’s Manual). The FilmArray </w:t>
      </w:r>
      <w:r>
        <w:t>Software</w:t>
      </w:r>
      <w:r w:rsidRPr="002D5CBA">
        <w:t xml:space="preserve"> then performs several analyses and assigns a final assay result. The steps in the analyses are described below.</w:t>
      </w:r>
    </w:p>
    <w:p w:rsidR="003D30F2" w:rsidRPr="002D5CBA" w:rsidRDefault="003D30F2" w:rsidP="003D30F2">
      <w:r w:rsidRPr="002D5CBA">
        <w:rPr>
          <w:b/>
        </w:rPr>
        <w:t xml:space="preserve">Analysis of melt curves. </w:t>
      </w:r>
      <w:r w:rsidRPr="002D5CBA">
        <w:t xml:space="preserve">The FilmArray </w:t>
      </w:r>
      <w:r>
        <w:t>Software</w:t>
      </w:r>
      <w:r w:rsidRPr="002D5CBA">
        <w:t xml:space="preserve"> evaluates the DNA melt curve for each well of the </w:t>
      </w:r>
      <w:r>
        <w:t>PCR2</w:t>
      </w:r>
      <w:r w:rsidRPr="002D5CBA">
        <w:t xml:space="preserve"> array to determine if a PCR product was present in that well. If the melt profile indicates the presence of a PCR product, then the analysis software calculates the melting temperature (Tm) of the curve</w:t>
      </w:r>
      <w:r>
        <w:t xml:space="preserve"> and</w:t>
      </w:r>
      <w:r w:rsidRPr="002D5CBA">
        <w:t xml:space="preserve"> </w:t>
      </w:r>
      <w:r>
        <w:t>compares it</w:t>
      </w:r>
      <w:r w:rsidRPr="002D5CBA">
        <w:t xml:space="preserve"> against the expected Tm range for the assay. If the software determines that the Tm falls inside the assay-specific Tm range, the melt curve is called positive. If the software determines that the melt curve is not in the appropriate Tm range, the melt curve is called negative. </w:t>
      </w:r>
    </w:p>
    <w:p w:rsidR="003D30F2" w:rsidRDefault="003D30F2" w:rsidP="003D30F2">
      <w:r w:rsidRPr="002D5CBA">
        <w:rPr>
          <w:b/>
        </w:rPr>
        <w:t xml:space="preserve">Analysis of replicates. </w:t>
      </w:r>
      <w:r w:rsidRPr="002D5CBA">
        <w:t xml:space="preserve">Once melt curves have been identified, the software evaluates the three replicates for each assay to determine the assay result. For an assay to be called positive, at least two of the three associated melt curves must be called positive, </w:t>
      </w:r>
      <w:r w:rsidRPr="002D5CBA">
        <w:rPr>
          <w:u w:val="single"/>
        </w:rPr>
        <w:t>and</w:t>
      </w:r>
      <w:r w:rsidRPr="002D5CBA">
        <w:t xml:space="preserve"> the Tm for at least two of the three positive melt curves must be similar (within 1°C). Assays that do not meet these criteria are called negative.</w:t>
      </w:r>
    </w:p>
    <w:p w:rsidR="0089485F" w:rsidRPr="00743426" w:rsidRDefault="0089485F" w:rsidP="0089485F">
      <w:pPr>
        <w:pStyle w:val="Heading3"/>
        <w:rPr>
          <w:rFonts w:ascii="Century Schoolbook" w:hAnsi="Century Schoolbook"/>
          <w:szCs w:val="24"/>
        </w:rPr>
      </w:pPr>
      <w:r>
        <w:rPr>
          <w:rFonts w:ascii="Century Schoolbook" w:hAnsi="Century Schoolbook"/>
          <w:szCs w:val="24"/>
        </w:rPr>
        <w:t xml:space="preserve">Organism </w:t>
      </w:r>
      <w:r w:rsidRPr="00743426">
        <w:rPr>
          <w:rFonts w:ascii="Century Schoolbook" w:hAnsi="Century Schoolbook"/>
          <w:szCs w:val="24"/>
        </w:rPr>
        <w:t>Inte</w:t>
      </w:r>
      <w:r>
        <w:rPr>
          <w:rFonts w:ascii="Century Schoolbook" w:hAnsi="Century Schoolbook"/>
          <w:szCs w:val="24"/>
        </w:rPr>
        <w:t>rpr</w:t>
      </w:r>
      <w:r w:rsidRPr="00743426">
        <w:rPr>
          <w:rFonts w:ascii="Century Schoolbook" w:hAnsi="Century Schoolbook"/>
          <w:szCs w:val="24"/>
        </w:rPr>
        <w:t>etation</w:t>
      </w:r>
    </w:p>
    <w:p w:rsidR="003D30F2" w:rsidRPr="00637D12" w:rsidRDefault="003D30F2" w:rsidP="003D30F2">
      <w:r w:rsidRPr="00637D12">
        <w:t xml:space="preserve">For most organisms detected by the FilmArray RP2, the organism is </w:t>
      </w:r>
      <w:r>
        <w:t>reported as</w:t>
      </w:r>
      <w:r w:rsidRPr="00637D12">
        <w:t xml:space="preserve"> Detected if a single corresponding assay is positive. For example, Human Metapneumovirus will have a test report result of Human Metapneumovirus Detected if at least two of the three replicates of the one Human Metapneumovirus assay </w:t>
      </w:r>
      <w:r>
        <w:t xml:space="preserve">(hMPV) </w:t>
      </w:r>
      <w:r w:rsidRPr="00637D12">
        <w:t>have similar positive melt peaks with Tm values that are within the assay-specific Tm range. The test results for Adenovirus</w:t>
      </w:r>
      <w:r>
        <w:t xml:space="preserve"> and I</w:t>
      </w:r>
      <w:r w:rsidRPr="00637D12">
        <w:t>nfluenza A</w:t>
      </w:r>
      <w:r>
        <w:t xml:space="preserve"> </w:t>
      </w:r>
      <w:r w:rsidRPr="00637D12">
        <w:t xml:space="preserve">depend on the interpretation of results from </w:t>
      </w:r>
      <w:r>
        <w:t xml:space="preserve">more than one </w:t>
      </w:r>
      <w:r w:rsidRPr="00637D12">
        <w:t xml:space="preserve">assay. Interpretation and </w:t>
      </w:r>
      <w:r>
        <w:t>actions</w:t>
      </w:r>
      <w:r w:rsidRPr="00637D12">
        <w:t xml:space="preserve"> for these t</w:t>
      </w:r>
      <w:r>
        <w:t>wo</w:t>
      </w:r>
      <w:r w:rsidRPr="00637D12">
        <w:t xml:space="preserve"> </w:t>
      </w:r>
      <w:r>
        <w:t xml:space="preserve">multi-assay </w:t>
      </w:r>
      <w:r w:rsidRPr="00637D12">
        <w:t>results are provided below.</w:t>
      </w:r>
    </w:p>
    <w:p w:rsidR="003D30F2" w:rsidRPr="003D30F2" w:rsidRDefault="003D30F2" w:rsidP="003D30F2">
      <w:pPr>
        <w:pStyle w:val="Heading3"/>
        <w:pBdr>
          <w:bottom w:val="none" w:sz="0" w:space="0" w:color="auto"/>
        </w:pBdr>
        <w:rPr>
          <w:rFonts w:ascii="Century Gothic" w:hAnsi="Century Gothic"/>
          <w:color w:val="auto"/>
          <w:sz w:val="24"/>
          <w:szCs w:val="24"/>
        </w:rPr>
      </w:pPr>
      <w:r w:rsidRPr="003D30F2">
        <w:rPr>
          <w:rFonts w:ascii="Century Gothic" w:hAnsi="Century Gothic"/>
          <w:color w:val="auto"/>
          <w:sz w:val="24"/>
          <w:szCs w:val="24"/>
        </w:rPr>
        <w:t>Adenovirus</w:t>
      </w:r>
    </w:p>
    <w:p w:rsidR="003D30F2" w:rsidRPr="00637D12" w:rsidRDefault="003D30F2" w:rsidP="003D30F2">
      <w:pPr>
        <w:pStyle w:val="Heading3"/>
        <w:pBdr>
          <w:bottom w:val="none" w:sz="0" w:space="0" w:color="auto"/>
        </w:pBdr>
      </w:pPr>
      <w:r w:rsidRPr="003D30F2">
        <w:rPr>
          <w:rFonts w:asciiTheme="minorHAnsi" w:hAnsiTheme="minorHAnsi"/>
          <w:b w:val="0"/>
          <w:color w:val="auto"/>
          <w:sz w:val="20"/>
        </w:rPr>
        <w:t>The FilmArray RP2 pouch contains five different assays (Adeno2, Adeno3, Adeno6, Adeno7.1, and Adeno8) for the detection of Adenovirus. The FilmArray Software interprets each of these assays independently (as described above) and the results are combined as a final test result for the virus. If one or any combination of assays is positive, the test report result will be Adenovirus Detected. If all assays are negative, the test report result will be Adenovirus Not Detected</w:t>
      </w:r>
      <w:r w:rsidRPr="00637D12">
        <w:t xml:space="preserve">. </w:t>
      </w:r>
    </w:p>
    <w:p w:rsidR="003D30F2" w:rsidRPr="003D30F2" w:rsidRDefault="003D30F2" w:rsidP="003D30F2">
      <w:pPr>
        <w:pStyle w:val="Heading3"/>
        <w:pBdr>
          <w:bottom w:val="none" w:sz="0" w:space="0" w:color="auto"/>
        </w:pBdr>
        <w:rPr>
          <w:rFonts w:ascii="Century Gothic" w:eastAsia="Calibri" w:hAnsi="Century Gothic"/>
          <w:color w:val="auto"/>
          <w:sz w:val="24"/>
          <w:szCs w:val="24"/>
        </w:rPr>
      </w:pPr>
      <w:r w:rsidRPr="003D30F2">
        <w:rPr>
          <w:rFonts w:ascii="Century Gothic" w:hAnsi="Century Gothic"/>
          <w:color w:val="auto"/>
          <w:sz w:val="24"/>
          <w:szCs w:val="24"/>
        </w:rPr>
        <w:t>Influenza</w:t>
      </w:r>
      <w:r w:rsidRPr="003D30F2">
        <w:rPr>
          <w:rFonts w:ascii="Century Gothic" w:eastAsia="Calibri" w:hAnsi="Century Gothic"/>
          <w:color w:val="auto"/>
          <w:sz w:val="24"/>
          <w:szCs w:val="24"/>
        </w:rPr>
        <w:t xml:space="preserve"> A</w:t>
      </w:r>
    </w:p>
    <w:p w:rsidR="003D30F2" w:rsidRPr="003D30F2" w:rsidRDefault="003D30F2" w:rsidP="003D30F2">
      <w:pPr>
        <w:pStyle w:val="Heading3"/>
        <w:pBdr>
          <w:bottom w:val="none" w:sz="0" w:space="0" w:color="auto"/>
        </w:pBdr>
        <w:rPr>
          <w:rFonts w:asciiTheme="minorHAnsi" w:hAnsiTheme="minorHAnsi"/>
          <w:b w:val="0"/>
          <w:color w:val="auto"/>
          <w:sz w:val="20"/>
        </w:rPr>
      </w:pPr>
      <w:r w:rsidRPr="003D30F2">
        <w:rPr>
          <w:rFonts w:asciiTheme="minorHAnsi" w:hAnsiTheme="minorHAnsi"/>
          <w:b w:val="0"/>
          <w:color w:val="auto"/>
          <w:sz w:val="20"/>
        </w:rPr>
        <w:t>The assays in the FilmArray RP2 are designed to both detect Influenza A and to differentiate commonly occurring hemagglutinin subtypes. To accomplish this, the FilmArray RP2 uses two Influenza A assays, (FluA-pan-1 and FluA-pan-2) and three subtyping assays directed at the hemagglutinin gene (FluA-H1-2, FluA-H1-2009, and FluA-H3). Each of the individual assays is interpreted independently (as described above) and the test result reported for Influenza A is based on the combined results of the five assays as outlined in</w:t>
      </w:r>
      <w:r w:rsidRPr="003D30F2">
        <w:rPr>
          <w:rFonts w:asciiTheme="minorHAnsi" w:hAnsiTheme="minorHAnsi"/>
          <w:b w:val="0"/>
          <w:color w:val="auto"/>
          <w:sz w:val="20"/>
        </w:rPr>
        <w:fldChar w:fldCharType="begin"/>
      </w:r>
      <w:r w:rsidRPr="003D30F2">
        <w:rPr>
          <w:rFonts w:asciiTheme="minorHAnsi" w:hAnsiTheme="minorHAnsi"/>
          <w:b w:val="0"/>
          <w:color w:val="auto"/>
          <w:sz w:val="20"/>
        </w:rPr>
        <w:instrText xml:space="preserve"> REF _Ref313867156 \h  \* MERGEFORMAT </w:instrText>
      </w:r>
      <w:r w:rsidRPr="003D30F2">
        <w:rPr>
          <w:rFonts w:asciiTheme="minorHAnsi" w:hAnsiTheme="minorHAnsi"/>
          <w:b w:val="0"/>
          <w:color w:val="auto"/>
          <w:sz w:val="20"/>
        </w:rPr>
      </w:r>
      <w:r w:rsidRPr="003D30F2">
        <w:rPr>
          <w:rFonts w:asciiTheme="minorHAnsi" w:hAnsiTheme="minorHAnsi"/>
          <w:b w:val="0"/>
          <w:color w:val="auto"/>
          <w:sz w:val="20"/>
        </w:rPr>
        <w:fldChar w:fldCharType="separate"/>
      </w:r>
      <w:r w:rsidR="00A500D8" w:rsidRPr="00A500D8">
        <w:rPr>
          <w:rFonts w:asciiTheme="minorHAnsi" w:hAnsiTheme="minorHAnsi"/>
          <w:b w:val="0"/>
          <w:color w:val="auto"/>
          <w:sz w:val="20"/>
        </w:rPr>
        <w:t xml:space="preserve"> Table 1</w:t>
      </w:r>
      <w:r w:rsidRPr="003D30F2">
        <w:rPr>
          <w:rFonts w:asciiTheme="minorHAnsi" w:hAnsiTheme="minorHAnsi"/>
          <w:b w:val="0"/>
          <w:color w:val="auto"/>
          <w:sz w:val="20"/>
        </w:rPr>
        <w:fldChar w:fldCharType="end"/>
      </w:r>
      <w:r w:rsidRPr="003D30F2">
        <w:rPr>
          <w:rFonts w:asciiTheme="minorHAnsi" w:hAnsiTheme="minorHAnsi"/>
          <w:b w:val="0"/>
          <w:color w:val="auto"/>
          <w:sz w:val="20"/>
        </w:rPr>
        <w:t>. Retest specimens having Equivocal results or multiple Influenza A subtypes detected.</w:t>
      </w:r>
    </w:p>
    <w:p w:rsidR="003D30F2" w:rsidRPr="00637D12" w:rsidRDefault="003D30F2" w:rsidP="003D30F2"/>
    <w:p w:rsidR="003D30F2" w:rsidRPr="0089485F" w:rsidRDefault="003D30F2" w:rsidP="003D30F2">
      <w:pPr>
        <w:pStyle w:val="Heading4"/>
        <w:rPr>
          <w:rFonts w:eastAsia="Times New Roman"/>
          <w:color w:val="auto"/>
          <w:vertAlign w:val="superscript"/>
        </w:rPr>
      </w:pPr>
      <w:bookmarkStart w:id="22" w:name="_Ref313867156"/>
      <w:r w:rsidRPr="00637D12">
        <w:rPr>
          <w:rFonts w:eastAsia="Times New Roman"/>
        </w:rPr>
        <w:t xml:space="preserve"> </w:t>
      </w:r>
      <w:r w:rsidRPr="0089485F">
        <w:rPr>
          <w:rFonts w:eastAsia="Times New Roman"/>
          <w:color w:val="auto"/>
        </w:rPr>
        <w:t xml:space="preserve">Table </w:t>
      </w:r>
      <w:r w:rsidRPr="0089485F">
        <w:rPr>
          <w:rFonts w:eastAsia="Times New Roman"/>
          <w:color w:val="auto"/>
        </w:rPr>
        <w:fldChar w:fldCharType="begin"/>
      </w:r>
      <w:r w:rsidRPr="0089485F">
        <w:rPr>
          <w:rFonts w:eastAsia="Times New Roman"/>
          <w:color w:val="auto"/>
        </w:rPr>
        <w:instrText xml:space="preserve"> SEQ Table \* ARABIC </w:instrText>
      </w:r>
      <w:r w:rsidRPr="0089485F">
        <w:rPr>
          <w:rFonts w:eastAsia="Times New Roman"/>
          <w:color w:val="auto"/>
        </w:rPr>
        <w:fldChar w:fldCharType="separate"/>
      </w:r>
      <w:r w:rsidR="00A500D8">
        <w:rPr>
          <w:rFonts w:eastAsia="Times New Roman"/>
          <w:noProof/>
          <w:color w:val="auto"/>
        </w:rPr>
        <w:t>1</w:t>
      </w:r>
      <w:r w:rsidRPr="0089485F">
        <w:rPr>
          <w:rFonts w:eastAsia="Times New Roman"/>
          <w:color w:val="auto"/>
        </w:rPr>
        <w:fldChar w:fldCharType="end"/>
      </w:r>
      <w:bookmarkEnd w:id="22"/>
      <w:r w:rsidRPr="0089485F">
        <w:rPr>
          <w:rFonts w:eastAsia="Times New Roman"/>
          <w:color w:val="auto"/>
        </w:rPr>
        <w:t>. Possible Assay Results for Influenza A and the Corresponding Interpretation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99"/>
        <w:gridCol w:w="1273"/>
        <w:gridCol w:w="1201"/>
        <w:gridCol w:w="1273"/>
        <w:gridCol w:w="1250"/>
        <w:gridCol w:w="1734"/>
      </w:tblGrid>
      <w:tr w:rsidR="003D30F2" w:rsidRPr="00025715" w:rsidTr="00647CF8">
        <w:trPr>
          <w:trHeight w:val="771"/>
          <w:tblHeader/>
          <w:jc w:val="center"/>
        </w:trPr>
        <w:tc>
          <w:tcPr>
            <w:tcW w:w="2970" w:type="dxa"/>
            <w:tcBorders>
              <w:top w:val="double" w:sz="4" w:space="0" w:color="auto"/>
              <w:left w:val="double" w:sz="4" w:space="0" w:color="auto"/>
              <w:bottom w:val="single" w:sz="4" w:space="0" w:color="auto"/>
              <w:tl2br w:val="single" w:sz="4" w:space="0" w:color="auto"/>
            </w:tcBorders>
            <w:shd w:val="clear" w:color="auto" w:fill="8A1F03"/>
            <w:vAlign w:val="bottom"/>
          </w:tcPr>
          <w:p w:rsidR="003D30F2" w:rsidRPr="0089485F" w:rsidRDefault="003D30F2" w:rsidP="00647CF8">
            <w:pPr>
              <w:pStyle w:val="Heading5"/>
              <w:jc w:val="right"/>
              <w:rPr>
                <w:rFonts w:eastAsia="Calibri"/>
                <w:b/>
                <w:color w:val="auto"/>
              </w:rPr>
            </w:pPr>
            <w:r w:rsidRPr="0089485F">
              <w:rPr>
                <w:rFonts w:eastAsia="Calibri"/>
                <w:b/>
                <w:color w:val="auto"/>
              </w:rPr>
              <w:t xml:space="preserve">                                  Assay</w:t>
            </w:r>
          </w:p>
          <w:p w:rsidR="003D30F2" w:rsidRPr="0089485F" w:rsidRDefault="003D30F2" w:rsidP="00647CF8">
            <w:pPr>
              <w:pStyle w:val="Heading5"/>
              <w:rPr>
                <w:rFonts w:eastAsia="Calibri"/>
                <w:b/>
                <w:color w:val="auto"/>
              </w:rPr>
            </w:pPr>
            <w:r w:rsidRPr="0089485F">
              <w:rPr>
                <w:rFonts w:eastAsia="Calibri"/>
                <w:b/>
                <w:color w:val="auto"/>
              </w:rPr>
              <w:t>Result</w:t>
            </w:r>
          </w:p>
        </w:tc>
        <w:tc>
          <w:tcPr>
            <w:tcW w:w="1350" w:type="dxa"/>
            <w:tcBorders>
              <w:top w:val="double" w:sz="4" w:space="0" w:color="auto"/>
              <w:bottom w:val="single" w:sz="4" w:space="0" w:color="auto"/>
            </w:tcBorders>
            <w:shd w:val="clear" w:color="auto" w:fill="8A1F03"/>
            <w:vAlign w:val="bottom"/>
          </w:tcPr>
          <w:p w:rsidR="003D30F2" w:rsidRPr="0089485F" w:rsidRDefault="003D30F2" w:rsidP="00647CF8">
            <w:pPr>
              <w:pStyle w:val="Heading5"/>
              <w:rPr>
                <w:rFonts w:eastAsia="Calibri"/>
                <w:b/>
                <w:color w:val="auto"/>
              </w:rPr>
            </w:pPr>
            <w:r w:rsidRPr="0089485F">
              <w:rPr>
                <w:rFonts w:eastAsia="Calibri"/>
                <w:b/>
                <w:color w:val="auto"/>
              </w:rPr>
              <w:t>FluA-pan Assays</w:t>
            </w:r>
          </w:p>
          <w:p w:rsidR="003D30F2" w:rsidRPr="0089485F" w:rsidRDefault="003D30F2" w:rsidP="00647CF8">
            <w:pPr>
              <w:pStyle w:val="Heading5"/>
              <w:rPr>
                <w:rFonts w:eastAsia="Calibri"/>
                <w:b/>
                <w:color w:val="auto"/>
              </w:rPr>
            </w:pPr>
            <w:r w:rsidRPr="0089485F">
              <w:rPr>
                <w:rFonts w:eastAsia="Calibri"/>
                <w:b/>
                <w:color w:val="auto"/>
              </w:rPr>
              <w:t>(n=2)</w:t>
            </w:r>
          </w:p>
        </w:tc>
        <w:tc>
          <w:tcPr>
            <w:tcW w:w="1260" w:type="dxa"/>
            <w:tcBorders>
              <w:top w:val="double" w:sz="4" w:space="0" w:color="auto"/>
              <w:bottom w:val="single" w:sz="4" w:space="0" w:color="auto"/>
            </w:tcBorders>
            <w:shd w:val="clear" w:color="auto" w:fill="8A1F03"/>
            <w:vAlign w:val="bottom"/>
          </w:tcPr>
          <w:p w:rsidR="003D30F2" w:rsidRPr="0089485F" w:rsidRDefault="003D30F2" w:rsidP="00647CF8">
            <w:pPr>
              <w:pStyle w:val="Heading5"/>
              <w:rPr>
                <w:rFonts w:eastAsia="Calibri"/>
                <w:b/>
                <w:color w:val="auto"/>
              </w:rPr>
            </w:pPr>
            <w:r w:rsidRPr="0089485F">
              <w:rPr>
                <w:rFonts w:eastAsia="Calibri"/>
                <w:b/>
                <w:color w:val="auto"/>
              </w:rPr>
              <w:t>FluA-H1-2</w:t>
            </w:r>
          </w:p>
        </w:tc>
        <w:tc>
          <w:tcPr>
            <w:tcW w:w="1350" w:type="dxa"/>
            <w:tcBorders>
              <w:top w:val="double" w:sz="4" w:space="0" w:color="auto"/>
              <w:bottom w:val="single" w:sz="4" w:space="0" w:color="auto"/>
            </w:tcBorders>
            <w:shd w:val="clear" w:color="auto" w:fill="8A1F03"/>
            <w:vAlign w:val="bottom"/>
          </w:tcPr>
          <w:p w:rsidR="003D30F2" w:rsidRPr="0089485F" w:rsidRDefault="003D30F2" w:rsidP="00647CF8">
            <w:pPr>
              <w:pStyle w:val="Heading5"/>
              <w:rPr>
                <w:rFonts w:eastAsia="Calibri"/>
                <w:b/>
                <w:color w:val="auto"/>
              </w:rPr>
            </w:pPr>
            <w:r w:rsidRPr="0089485F">
              <w:rPr>
                <w:rFonts w:eastAsia="Calibri"/>
                <w:b/>
                <w:color w:val="auto"/>
              </w:rPr>
              <w:t>FluA-H1-2009</w:t>
            </w:r>
          </w:p>
        </w:tc>
        <w:tc>
          <w:tcPr>
            <w:tcW w:w="1321" w:type="dxa"/>
            <w:tcBorders>
              <w:top w:val="double" w:sz="4" w:space="0" w:color="auto"/>
              <w:bottom w:val="single" w:sz="4" w:space="0" w:color="auto"/>
            </w:tcBorders>
            <w:shd w:val="clear" w:color="auto" w:fill="8A1F03"/>
            <w:vAlign w:val="bottom"/>
          </w:tcPr>
          <w:p w:rsidR="003D30F2" w:rsidRPr="0089485F" w:rsidRDefault="003D30F2" w:rsidP="00647CF8">
            <w:pPr>
              <w:pStyle w:val="Heading5"/>
              <w:rPr>
                <w:rFonts w:eastAsia="Calibri"/>
                <w:b/>
                <w:color w:val="auto"/>
              </w:rPr>
            </w:pPr>
            <w:r w:rsidRPr="0089485F">
              <w:rPr>
                <w:rFonts w:eastAsia="Calibri"/>
                <w:b/>
                <w:color w:val="auto"/>
              </w:rPr>
              <w:t>FluA-H3</w:t>
            </w:r>
          </w:p>
        </w:tc>
        <w:tc>
          <w:tcPr>
            <w:tcW w:w="1904" w:type="dxa"/>
            <w:tcBorders>
              <w:top w:val="double" w:sz="4" w:space="0" w:color="auto"/>
              <w:bottom w:val="single" w:sz="4" w:space="0" w:color="auto"/>
              <w:right w:val="double" w:sz="4" w:space="0" w:color="auto"/>
            </w:tcBorders>
            <w:shd w:val="clear" w:color="auto" w:fill="8A1F03"/>
            <w:vAlign w:val="bottom"/>
          </w:tcPr>
          <w:p w:rsidR="003D30F2" w:rsidRPr="0089485F" w:rsidRDefault="003D30F2" w:rsidP="00647CF8">
            <w:pPr>
              <w:pStyle w:val="Heading5"/>
              <w:rPr>
                <w:rFonts w:eastAsia="Calibri"/>
                <w:b/>
                <w:color w:val="auto"/>
              </w:rPr>
            </w:pPr>
            <w:r w:rsidRPr="0089485F">
              <w:rPr>
                <w:rFonts w:eastAsia="Calibri"/>
                <w:b/>
                <w:color w:val="auto"/>
              </w:rPr>
              <w:t>Action</w:t>
            </w:r>
          </w:p>
        </w:tc>
      </w:tr>
      <w:tr w:rsidR="003D30F2" w:rsidRPr="00025715" w:rsidTr="00647CF8">
        <w:trPr>
          <w:trHeight w:val="360"/>
          <w:jc w:val="center"/>
        </w:trPr>
        <w:tc>
          <w:tcPr>
            <w:tcW w:w="2970" w:type="dxa"/>
            <w:tcBorders>
              <w:top w:val="single" w:sz="4" w:space="0" w:color="auto"/>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Not Detected</w:t>
            </w:r>
          </w:p>
        </w:tc>
        <w:tc>
          <w:tcPr>
            <w:tcW w:w="1350" w:type="dxa"/>
            <w:tcBorders>
              <w:top w:val="sing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260" w:type="dxa"/>
            <w:tcBorders>
              <w:top w:val="sing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50" w:type="dxa"/>
            <w:tcBorders>
              <w:top w:val="sing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tcBorders>
              <w:top w:val="sing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val="restart"/>
            <w:tcBorders>
              <w:top w:val="single" w:sz="4" w:space="0" w:color="auto"/>
              <w:right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None</w:t>
            </w: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tcBorders>
              <w:right w:val="double" w:sz="4" w:space="0" w:color="auto"/>
            </w:tcBorders>
            <w:vAlign w:val="center"/>
          </w:tcPr>
          <w:p w:rsidR="003D30F2" w:rsidRPr="0089485F" w:rsidRDefault="003D30F2" w:rsidP="00647CF8">
            <w:pPr>
              <w:pStyle w:val="Heading5"/>
              <w:rPr>
                <w:rFonts w:eastAsia="Calibri"/>
                <w:color w:val="auto"/>
              </w:rPr>
            </w:pP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H3</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904" w:type="dxa"/>
            <w:vMerge/>
            <w:tcBorders>
              <w:right w:val="double" w:sz="4" w:space="0" w:color="auto"/>
            </w:tcBorders>
            <w:vAlign w:val="center"/>
          </w:tcPr>
          <w:p w:rsidR="003D30F2" w:rsidRPr="0089485F" w:rsidRDefault="003D30F2" w:rsidP="00647CF8">
            <w:pPr>
              <w:pStyle w:val="Heading5"/>
              <w:rPr>
                <w:rFonts w:eastAsia="Calibri"/>
                <w:color w:val="auto"/>
              </w:rPr>
            </w:pP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H1-2009</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Any result</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21"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tcBorders>
              <w:right w:val="double" w:sz="4" w:space="0" w:color="auto"/>
            </w:tcBorders>
            <w:vAlign w:val="center"/>
          </w:tcPr>
          <w:p w:rsidR="003D30F2" w:rsidRPr="0089485F" w:rsidRDefault="003D30F2" w:rsidP="00647CF8">
            <w:pPr>
              <w:pStyle w:val="Heading5"/>
              <w:rPr>
                <w:rFonts w:eastAsia="Calibri"/>
                <w:color w:val="auto"/>
              </w:rPr>
            </w:pP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w:t>
            </w:r>
          </w:p>
          <w:p w:rsidR="003D30F2" w:rsidRPr="0089485F" w:rsidRDefault="003D30F2" w:rsidP="00647CF8">
            <w:pPr>
              <w:pStyle w:val="Heading5"/>
              <w:rPr>
                <w:rFonts w:eastAsia="Calibri"/>
                <w:b/>
                <w:color w:val="auto"/>
              </w:rPr>
            </w:pPr>
            <w:r w:rsidRPr="0089485F">
              <w:rPr>
                <w:rFonts w:eastAsia="Calibri"/>
                <w:b/>
                <w:color w:val="auto"/>
              </w:rPr>
              <w:t>Influenza A H3</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904" w:type="dxa"/>
            <w:vMerge w:val="restart"/>
            <w:tcBorders>
              <w:right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Multiple infections are possible but rare</w:t>
            </w:r>
            <w:r w:rsidRPr="0089485F">
              <w:rPr>
                <w:rFonts w:eastAsia="Calibri"/>
                <w:color w:val="auto"/>
                <w:vertAlign w:val="superscript"/>
              </w:rPr>
              <w:t xml:space="preserve"> a</w:t>
            </w:r>
            <w:r w:rsidRPr="0089485F">
              <w:rPr>
                <w:rFonts w:eastAsia="Calibri"/>
                <w:color w:val="auto"/>
              </w:rPr>
              <w:t>, retest to confirm result</w:t>
            </w:r>
            <w:r w:rsidRPr="0089485F">
              <w:rPr>
                <w:rFonts w:eastAsia="Calibri"/>
                <w:color w:val="auto"/>
                <w:vertAlign w:val="superscript"/>
              </w:rPr>
              <w:t xml:space="preserve"> b</w:t>
            </w: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H1-2009</w:t>
            </w:r>
          </w:p>
          <w:p w:rsidR="003D30F2" w:rsidRPr="0089485F" w:rsidRDefault="003D30F2" w:rsidP="00647CF8">
            <w:pPr>
              <w:pStyle w:val="Heading5"/>
              <w:rPr>
                <w:rFonts w:eastAsia="Calibri"/>
                <w:b/>
                <w:color w:val="auto"/>
              </w:rPr>
            </w:pPr>
            <w:r w:rsidRPr="0089485F">
              <w:rPr>
                <w:rFonts w:eastAsia="Calibri"/>
                <w:b/>
                <w:color w:val="auto"/>
              </w:rPr>
              <w:t>Influenza A H3</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Any result</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21"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904" w:type="dxa"/>
            <w:vMerge/>
            <w:tcBorders>
              <w:right w:val="double" w:sz="4" w:space="0" w:color="auto"/>
            </w:tcBorders>
            <w:vAlign w:val="center"/>
          </w:tcPr>
          <w:p w:rsidR="003D30F2" w:rsidRPr="0089485F" w:rsidRDefault="003D30F2" w:rsidP="00647CF8">
            <w:pPr>
              <w:pStyle w:val="Heading5"/>
              <w:rPr>
                <w:rFonts w:eastAsia="Calibri"/>
                <w:color w:val="auto"/>
              </w:rPr>
            </w:pP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(no subtype detected)</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2 positive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tcBorders>
              <w:right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Retest</w:t>
            </w:r>
          </w:p>
          <w:p w:rsidR="003D30F2" w:rsidRPr="0089485F" w:rsidRDefault="003D30F2" w:rsidP="00647CF8">
            <w:pPr>
              <w:pStyle w:val="Heading5"/>
              <w:rPr>
                <w:rFonts w:eastAsia="Calibri"/>
                <w:color w:val="auto"/>
              </w:rPr>
            </w:pPr>
            <w:r w:rsidRPr="0089485F">
              <w:rPr>
                <w:rFonts w:eastAsia="Calibri"/>
                <w:color w:val="auto"/>
              </w:rPr>
              <w:t>(see below)</w:t>
            </w: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Equivocal</w:t>
            </w:r>
          </w:p>
        </w:tc>
        <w:tc>
          <w:tcPr>
            <w:tcW w:w="135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1 positive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val="restart"/>
            <w:tcBorders>
              <w:right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Retest</w:t>
            </w: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 Equivocal</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260"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tcBorders>
              <w:right w:val="double" w:sz="4" w:space="0" w:color="auto"/>
            </w:tcBorders>
          </w:tcPr>
          <w:p w:rsidR="003D30F2" w:rsidRPr="00637D12" w:rsidRDefault="003D30F2" w:rsidP="00647CF8">
            <w:pPr>
              <w:pStyle w:val="Heading5"/>
              <w:rPr>
                <w:rFonts w:eastAsia="Calibri" w:cs="Times New Roman"/>
              </w:rPr>
            </w:pPr>
          </w:p>
        </w:tc>
      </w:tr>
      <w:tr w:rsidR="003D30F2" w:rsidRPr="00025715" w:rsidTr="00647CF8">
        <w:trPr>
          <w:trHeight w:val="360"/>
          <w:jc w:val="center"/>
        </w:trPr>
        <w:tc>
          <w:tcPr>
            <w:tcW w:w="2970" w:type="dxa"/>
            <w:tcBorders>
              <w:left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H3 Equivocal</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26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50" w:type="dxa"/>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321" w:type="dxa"/>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904" w:type="dxa"/>
            <w:vMerge/>
            <w:tcBorders>
              <w:right w:val="double" w:sz="4" w:space="0" w:color="auto"/>
            </w:tcBorders>
          </w:tcPr>
          <w:p w:rsidR="003D30F2" w:rsidRPr="00637D12" w:rsidRDefault="003D30F2" w:rsidP="00647CF8">
            <w:pPr>
              <w:pStyle w:val="Heading5"/>
              <w:rPr>
                <w:rFonts w:eastAsia="Calibri" w:cs="Times New Roman"/>
              </w:rPr>
            </w:pPr>
          </w:p>
        </w:tc>
      </w:tr>
      <w:tr w:rsidR="003D30F2" w:rsidRPr="00025715" w:rsidTr="00647CF8">
        <w:trPr>
          <w:trHeight w:val="360"/>
          <w:jc w:val="center"/>
        </w:trPr>
        <w:tc>
          <w:tcPr>
            <w:tcW w:w="2970" w:type="dxa"/>
            <w:tcBorders>
              <w:left w:val="double" w:sz="4" w:space="0" w:color="auto"/>
              <w:bottom w:val="double" w:sz="4" w:space="0" w:color="auto"/>
            </w:tcBorders>
            <w:vAlign w:val="center"/>
          </w:tcPr>
          <w:p w:rsidR="003D30F2" w:rsidRPr="0089485F" w:rsidRDefault="003D30F2" w:rsidP="00647CF8">
            <w:pPr>
              <w:pStyle w:val="Heading5"/>
              <w:rPr>
                <w:rFonts w:eastAsia="Calibri"/>
                <w:b/>
                <w:color w:val="auto"/>
              </w:rPr>
            </w:pPr>
            <w:r w:rsidRPr="0089485F">
              <w:rPr>
                <w:rFonts w:eastAsia="Calibri"/>
                <w:b/>
                <w:color w:val="auto"/>
              </w:rPr>
              <w:t>Influenza A H1-2009 Equivocal</w:t>
            </w:r>
          </w:p>
        </w:tc>
        <w:tc>
          <w:tcPr>
            <w:tcW w:w="1350" w:type="dxa"/>
            <w:tcBorders>
              <w:bottom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260" w:type="dxa"/>
            <w:tcBorders>
              <w:bottom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Any result</w:t>
            </w:r>
          </w:p>
        </w:tc>
        <w:tc>
          <w:tcPr>
            <w:tcW w:w="1350" w:type="dxa"/>
            <w:tcBorders>
              <w:bottom w:val="double" w:sz="4" w:space="0" w:color="auto"/>
            </w:tcBorders>
            <w:shd w:val="clear" w:color="auto" w:fill="F2F2F2" w:themeFill="background1" w:themeFillShade="F2"/>
            <w:vAlign w:val="center"/>
          </w:tcPr>
          <w:p w:rsidR="003D30F2" w:rsidRPr="0089485F" w:rsidRDefault="003D30F2" w:rsidP="00647CF8">
            <w:pPr>
              <w:pStyle w:val="Heading5"/>
              <w:rPr>
                <w:rFonts w:eastAsia="Calibri"/>
                <w:b/>
                <w:color w:val="auto"/>
              </w:rPr>
            </w:pPr>
            <w:r w:rsidRPr="0089485F">
              <w:rPr>
                <w:rFonts w:eastAsia="Calibri"/>
                <w:b/>
                <w:color w:val="auto"/>
              </w:rPr>
              <w:t>Positive</w:t>
            </w:r>
          </w:p>
        </w:tc>
        <w:tc>
          <w:tcPr>
            <w:tcW w:w="1321" w:type="dxa"/>
            <w:tcBorders>
              <w:bottom w:val="double" w:sz="4" w:space="0" w:color="auto"/>
            </w:tcBorders>
            <w:vAlign w:val="center"/>
          </w:tcPr>
          <w:p w:rsidR="003D30F2" w:rsidRPr="0089485F" w:rsidRDefault="003D30F2" w:rsidP="00647CF8">
            <w:pPr>
              <w:pStyle w:val="Heading5"/>
              <w:rPr>
                <w:rFonts w:eastAsia="Calibri"/>
                <w:color w:val="auto"/>
              </w:rPr>
            </w:pPr>
            <w:r w:rsidRPr="0089485F">
              <w:rPr>
                <w:rFonts w:eastAsia="Calibri"/>
                <w:color w:val="auto"/>
              </w:rPr>
              <w:t>Negative</w:t>
            </w:r>
          </w:p>
        </w:tc>
        <w:tc>
          <w:tcPr>
            <w:tcW w:w="1904" w:type="dxa"/>
            <w:vMerge/>
            <w:tcBorders>
              <w:bottom w:val="double" w:sz="4" w:space="0" w:color="auto"/>
              <w:right w:val="double" w:sz="4" w:space="0" w:color="auto"/>
            </w:tcBorders>
          </w:tcPr>
          <w:p w:rsidR="003D30F2" w:rsidRPr="00637D12" w:rsidRDefault="003D30F2" w:rsidP="00647CF8">
            <w:pPr>
              <w:pStyle w:val="Heading5"/>
              <w:rPr>
                <w:rFonts w:eastAsia="Calibri" w:cs="Times New Roman"/>
              </w:rPr>
            </w:pPr>
          </w:p>
        </w:tc>
      </w:tr>
    </w:tbl>
    <w:p w:rsidR="003D30F2" w:rsidRPr="00637D12" w:rsidRDefault="003D30F2" w:rsidP="003D30F2">
      <w:pPr>
        <w:pStyle w:val="Quote"/>
      </w:pPr>
      <w:r w:rsidRPr="00637D12">
        <w:rPr>
          <w:vertAlign w:val="superscript"/>
        </w:rPr>
        <w:t>a</w:t>
      </w:r>
      <w:r w:rsidRPr="00637D12">
        <w:t xml:space="preserve"> The FilmArray RP2 can simultaneously detect multiple </w:t>
      </w:r>
      <w:r>
        <w:t>i</w:t>
      </w:r>
      <w:r w:rsidRPr="00637D12">
        <w:t xml:space="preserve">nfluenza viruses contained </w:t>
      </w:r>
      <w:r>
        <w:t>in multivalent vaccines</w:t>
      </w:r>
      <w:r w:rsidRPr="00637D12">
        <w:t xml:space="preserve"> (see </w:t>
      </w:r>
      <w:r>
        <w:t>Limitations</w:t>
      </w:r>
      <w:r w:rsidRPr="00637D12">
        <w:t>).</w:t>
      </w:r>
    </w:p>
    <w:p w:rsidR="003D30F2" w:rsidRDefault="003D30F2" w:rsidP="003D30F2">
      <w:pPr>
        <w:pStyle w:val="Quote"/>
      </w:pPr>
      <w:r w:rsidRPr="00637D12">
        <w:rPr>
          <w:vertAlign w:val="superscript"/>
        </w:rPr>
        <w:t>b</w:t>
      </w:r>
      <w:r w:rsidRPr="00637D12">
        <w:rPr>
          <w:b/>
        </w:rPr>
        <w:t xml:space="preserve"> </w:t>
      </w:r>
      <w:r w:rsidRPr="00637D12">
        <w:t>Repeated multiple positives should be further confirmed by other FDA cleared Influenza subtyping tests.</w:t>
      </w:r>
    </w:p>
    <w:p w:rsidR="0089485F" w:rsidRPr="0089485F" w:rsidRDefault="0089485F" w:rsidP="0089485F">
      <w:pPr>
        <w:pStyle w:val="Heading3"/>
        <w:pBdr>
          <w:bottom w:val="none" w:sz="0" w:space="0" w:color="auto"/>
        </w:pBdr>
        <w:rPr>
          <w:rFonts w:ascii="Century Gothic" w:eastAsia="Calibri" w:hAnsi="Century Gothic"/>
          <w:color w:val="auto"/>
          <w:sz w:val="24"/>
          <w:szCs w:val="24"/>
        </w:rPr>
      </w:pPr>
      <w:r w:rsidRPr="0089485F">
        <w:rPr>
          <w:rFonts w:ascii="Century Gothic" w:eastAsia="Calibri" w:hAnsi="Century Gothic"/>
          <w:color w:val="auto"/>
          <w:sz w:val="24"/>
          <w:szCs w:val="24"/>
        </w:rPr>
        <w:t xml:space="preserve">Influenza A (no </w:t>
      </w:r>
      <w:r w:rsidRPr="0089485F">
        <w:rPr>
          <w:rFonts w:ascii="Century Gothic" w:hAnsi="Century Gothic"/>
          <w:color w:val="auto"/>
          <w:sz w:val="24"/>
          <w:szCs w:val="24"/>
        </w:rPr>
        <w:t>subtype</w:t>
      </w:r>
      <w:r w:rsidRPr="0089485F">
        <w:rPr>
          <w:rFonts w:ascii="Century Gothic" w:eastAsia="Calibri" w:hAnsi="Century Gothic"/>
          <w:color w:val="auto"/>
          <w:sz w:val="24"/>
          <w:szCs w:val="24"/>
        </w:rPr>
        <w:t xml:space="preserve"> detected)</w:t>
      </w:r>
    </w:p>
    <w:p w:rsidR="0089485F" w:rsidRDefault="0089485F" w:rsidP="0089485F">
      <w:pPr>
        <w:spacing w:after="0"/>
        <w:rPr>
          <w:rFonts w:cs="Arial"/>
        </w:rPr>
      </w:pPr>
      <w:r w:rsidRPr="00D740E1">
        <w:t>If both of the FluA-pan assays are positive, but none of the hemagglutinin subtyping assays are positive, then the interpretation is Influenza A (no subtype detected). This result could occur when the titer of the virus in the specimen is low and not detected by the subtyping assays. This result could also indicate the presence of a novel Influenza A strain. In both cases, the sample in question should be retested. If the retest provides a different result, test the sample a third time to ensure the accuracy of the result. If the retest provides the same result, then the function of the RP2 pouches should be verified by testing with appropriate external control materials (known positive samples for Influenza A H1, Influenza A H3 and Influenza A H1-2009), and a negative control should also be run to test for PCR-product contamination. If the FilmArray RP2 accurately identifies the external and negative controls, contact the appropriate public health authorities for confirmatory testing</w:t>
      </w:r>
      <w:r w:rsidRPr="00637D12">
        <w:rPr>
          <w:rFonts w:cs="Arial"/>
        </w:rPr>
        <w:t>.</w:t>
      </w:r>
    </w:p>
    <w:p w:rsidR="0089485F" w:rsidRDefault="0089485F" w:rsidP="0089485F">
      <w:pPr>
        <w:spacing w:after="0"/>
        <w:rPr>
          <w:rFonts w:cs="Arial"/>
        </w:rPr>
      </w:pPr>
    </w:p>
    <w:p w:rsidR="00B41F38" w:rsidRDefault="00B41F38" w:rsidP="00B41F38">
      <w:pPr>
        <w:pStyle w:val="Heading3"/>
      </w:pPr>
      <w:r>
        <w:t>FilmArray RP2 Test Report</w:t>
      </w:r>
    </w:p>
    <w:p w:rsidR="0089485F" w:rsidRDefault="0089485F" w:rsidP="0089485F">
      <w:r w:rsidRPr="000F4BBF">
        <w:t>The FilmArray RP2 test report is automatically displayed upon completion of a run</w:t>
      </w:r>
      <w:r>
        <w:t xml:space="preserve"> and can be printed or saved as a PDF file.</w:t>
      </w:r>
      <w:r w:rsidRPr="000F4BBF">
        <w:t xml:space="preserve"> </w:t>
      </w:r>
      <w:r>
        <w:t xml:space="preserve">Each report </w:t>
      </w:r>
      <w:r w:rsidRPr="000F4BBF">
        <w:t>contains</w:t>
      </w:r>
      <w:r>
        <w:t xml:space="preserve"> a Run Summary, a Result Summary, and a Run Details section.</w:t>
      </w:r>
    </w:p>
    <w:p w:rsidR="0089485F" w:rsidRDefault="0089485F" w:rsidP="0089485F">
      <w:pPr>
        <w:jc w:val="center"/>
      </w:pPr>
      <w:r>
        <w:rPr>
          <w:noProof/>
        </w:rPr>
        <w:drawing>
          <wp:inline distT="0" distB="0" distL="0" distR="0" wp14:anchorId="6EFCA2A3" wp14:editId="6CF8404C">
            <wp:extent cx="4623843" cy="3712191"/>
            <wp:effectExtent l="0" t="0" r="571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P2 Report (No MERS).png"/>
                    <pic:cNvPicPr/>
                  </pic:nvPicPr>
                  <pic:blipFill>
                    <a:blip r:embed="rId16">
                      <a:extLst>
                        <a:ext uri="{28A0092B-C50C-407E-A947-70E740481C1C}">
                          <a14:useLocalDpi xmlns:a14="http://schemas.microsoft.com/office/drawing/2010/main" val="0"/>
                        </a:ext>
                      </a:extLst>
                    </a:blip>
                    <a:stretch>
                      <a:fillRect/>
                    </a:stretch>
                  </pic:blipFill>
                  <pic:spPr>
                    <a:xfrm>
                      <a:off x="0" y="0"/>
                      <a:ext cx="4641796" cy="3726604"/>
                    </a:xfrm>
                    <a:prstGeom prst="rect">
                      <a:avLst/>
                    </a:prstGeom>
                  </pic:spPr>
                </pic:pic>
              </a:graphicData>
            </a:graphic>
          </wp:inline>
        </w:drawing>
      </w:r>
    </w:p>
    <w:p w:rsidR="0089485F" w:rsidRPr="00B41F38" w:rsidRDefault="0089485F" w:rsidP="00B41F38">
      <w:pPr>
        <w:pStyle w:val="Heading3"/>
        <w:pBdr>
          <w:bottom w:val="none" w:sz="0" w:space="0" w:color="auto"/>
        </w:pBdr>
        <w:rPr>
          <w:color w:val="auto"/>
        </w:rPr>
      </w:pPr>
      <w:r w:rsidRPr="00B41F38">
        <w:rPr>
          <w:color w:val="auto"/>
        </w:rPr>
        <w:t>Run Summary</w:t>
      </w:r>
    </w:p>
    <w:p w:rsidR="0089485F" w:rsidRDefault="0089485F" w:rsidP="0089485F">
      <w:r w:rsidRPr="000F4BBF">
        <w:t xml:space="preserve">The </w:t>
      </w:r>
      <w:r w:rsidRPr="00B22A45">
        <w:t>Run Summary</w:t>
      </w:r>
      <w:r w:rsidRPr="000F4BBF">
        <w:t xml:space="preserve"> section of the test report provides the Sample ID, time and date of the run, control results and an overall summary of the test results. Any organism with a Detected result will be listed in the corresponding field of the summary. If all of the organism assays were negative then </w:t>
      </w:r>
      <w:r>
        <w:t>‘</w:t>
      </w:r>
      <w:r w:rsidRPr="000F4BBF">
        <w:t>None</w:t>
      </w:r>
      <w:r>
        <w:t>’</w:t>
      </w:r>
      <w:r w:rsidRPr="000F4BBF">
        <w:t xml:space="preserve"> will be displayed in the Detected field. Controls are listed as Passed, Failed</w:t>
      </w:r>
      <w:r>
        <w:t>,</w:t>
      </w:r>
      <w:r w:rsidRPr="000F4BBF">
        <w:t xml:space="preserve"> or Invalid. </w:t>
      </w:r>
      <w:r w:rsidRPr="00637D12">
        <w:fldChar w:fldCharType="begin"/>
      </w:r>
      <w:r w:rsidRPr="00637D12">
        <w:instrText xml:space="preserve"> REF _Ref465411691 \h  \* MERGEFORMAT </w:instrText>
      </w:r>
      <w:r w:rsidRPr="00637D12">
        <w:fldChar w:fldCharType="separate"/>
      </w:r>
      <w:r w:rsidR="00A500D8" w:rsidRPr="00B41F38">
        <w:t xml:space="preserve">Table </w:t>
      </w:r>
      <w:r w:rsidR="00A500D8">
        <w:t>2</w:t>
      </w:r>
      <w:r w:rsidRPr="00637D12">
        <w:fldChar w:fldCharType="end"/>
      </w:r>
      <w:r w:rsidRPr="00637D12">
        <w:t xml:space="preserve"> provides</w:t>
      </w:r>
      <w:r w:rsidRPr="0000337F">
        <w:t xml:space="preserve"> additional</w:t>
      </w:r>
      <w:r w:rsidRPr="00F25AAB">
        <w:t xml:space="preserve"> information for each of the possible control field results</w:t>
      </w:r>
      <w:r>
        <w:t>.</w:t>
      </w:r>
    </w:p>
    <w:p w:rsidR="0089485F" w:rsidRPr="00B41F38" w:rsidRDefault="0089485F" w:rsidP="0089485F">
      <w:pPr>
        <w:pStyle w:val="Heading4"/>
        <w:rPr>
          <w:color w:val="auto"/>
        </w:rPr>
      </w:pPr>
      <w:bookmarkStart w:id="23" w:name="_Ref465411691"/>
      <w:bookmarkStart w:id="24" w:name="_Ref465411682"/>
      <w:r w:rsidRPr="00B41F38">
        <w:rPr>
          <w:color w:val="auto"/>
        </w:rPr>
        <w:t xml:space="preserve">Table </w:t>
      </w:r>
      <w:r w:rsidRPr="00B41F38">
        <w:rPr>
          <w:color w:val="auto"/>
        </w:rPr>
        <w:fldChar w:fldCharType="begin"/>
      </w:r>
      <w:r w:rsidRPr="00B41F38">
        <w:rPr>
          <w:color w:val="auto"/>
        </w:rPr>
        <w:instrText xml:space="preserve"> SEQ Table \* ARABIC </w:instrText>
      </w:r>
      <w:r w:rsidRPr="00B41F38">
        <w:rPr>
          <w:color w:val="auto"/>
        </w:rPr>
        <w:fldChar w:fldCharType="separate"/>
      </w:r>
      <w:r w:rsidR="00A500D8">
        <w:rPr>
          <w:noProof/>
          <w:color w:val="auto"/>
        </w:rPr>
        <w:t>2</w:t>
      </w:r>
      <w:r w:rsidRPr="00B41F38">
        <w:rPr>
          <w:noProof/>
          <w:color w:val="auto"/>
        </w:rPr>
        <w:fldChar w:fldCharType="end"/>
      </w:r>
      <w:bookmarkEnd w:id="23"/>
      <w:r w:rsidRPr="00B41F38">
        <w:rPr>
          <w:color w:val="auto"/>
        </w:rPr>
        <w:t>. Interpretation of Controls Field on the FilmArray RP2 Test Report</w:t>
      </w:r>
      <w:bookmarkEnd w:id="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3462"/>
        <w:gridCol w:w="4265"/>
      </w:tblGrid>
      <w:tr w:rsidR="0089485F" w:rsidRPr="000F4BBF" w:rsidTr="00647CF8">
        <w:trPr>
          <w:cantSplit/>
          <w:trHeight w:val="268"/>
          <w:tblHeader/>
          <w:jc w:val="center"/>
        </w:trPr>
        <w:tc>
          <w:tcPr>
            <w:tcW w:w="1422" w:type="dxa"/>
            <w:tcBorders>
              <w:top w:val="double" w:sz="4" w:space="0" w:color="auto"/>
              <w:left w:val="double" w:sz="4" w:space="0" w:color="auto"/>
              <w:bottom w:val="double" w:sz="4" w:space="0" w:color="auto"/>
            </w:tcBorders>
            <w:shd w:val="clear" w:color="auto" w:fill="8A1F03"/>
            <w:vAlign w:val="bottom"/>
          </w:tcPr>
          <w:p w:rsidR="0089485F" w:rsidRPr="00B41F38" w:rsidRDefault="0089485F" w:rsidP="00647CF8">
            <w:pPr>
              <w:pStyle w:val="Heading5"/>
              <w:rPr>
                <w:rFonts w:eastAsia="Times New Roman"/>
                <w:b/>
                <w:color w:val="auto"/>
              </w:rPr>
            </w:pPr>
            <w:r w:rsidRPr="00B41F38">
              <w:rPr>
                <w:rFonts w:eastAsia="Times New Roman"/>
                <w:b/>
                <w:color w:val="auto"/>
              </w:rPr>
              <w:t>Control Result</w:t>
            </w:r>
          </w:p>
        </w:tc>
        <w:tc>
          <w:tcPr>
            <w:tcW w:w="3462" w:type="dxa"/>
            <w:tcBorders>
              <w:top w:val="double" w:sz="4" w:space="0" w:color="auto"/>
              <w:bottom w:val="double" w:sz="4" w:space="0" w:color="auto"/>
            </w:tcBorders>
            <w:shd w:val="clear" w:color="auto" w:fill="8A1F03"/>
            <w:vAlign w:val="bottom"/>
          </w:tcPr>
          <w:p w:rsidR="0089485F" w:rsidRPr="00B41F38" w:rsidRDefault="0089485F" w:rsidP="00647CF8">
            <w:pPr>
              <w:pStyle w:val="Heading5"/>
              <w:rPr>
                <w:rFonts w:eastAsia="Times New Roman"/>
                <w:b/>
                <w:color w:val="auto"/>
              </w:rPr>
            </w:pPr>
            <w:r w:rsidRPr="00B41F38">
              <w:rPr>
                <w:rFonts w:eastAsia="Times New Roman"/>
                <w:b/>
                <w:color w:val="auto"/>
              </w:rPr>
              <w:t>Explanation</w:t>
            </w:r>
          </w:p>
        </w:tc>
        <w:tc>
          <w:tcPr>
            <w:tcW w:w="4265" w:type="dxa"/>
            <w:tcBorders>
              <w:top w:val="double" w:sz="4" w:space="0" w:color="auto"/>
              <w:bottom w:val="double" w:sz="4" w:space="0" w:color="auto"/>
              <w:right w:val="double" w:sz="4" w:space="0" w:color="auto"/>
            </w:tcBorders>
            <w:shd w:val="clear" w:color="auto" w:fill="8A1F03"/>
            <w:vAlign w:val="bottom"/>
          </w:tcPr>
          <w:p w:rsidR="0089485F" w:rsidRPr="00B41F38" w:rsidRDefault="0089485F" w:rsidP="00647CF8">
            <w:pPr>
              <w:pStyle w:val="Heading5"/>
              <w:rPr>
                <w:rFonts w:eastAsia="Times New Roman"/>
                <w:b/>
                <w:color w:val="auto"/>
              </w:rPr>
            </w:pPr>
            <w:r w:rsidRPr="00B41F38">
              <w:rPr>
                <w:rFonts w:eastAsia="Times New Roman"/>
                <w:b/>
                <w:color w:val="auto"/>
              </w:rPr>
              <w:t xml:space="preserve">Action </w:t>
            </w:r>
          </w:p>
        </w:tc>
      </w:tr>
      <w:tr w:rsidR="0089485F" w:rsidRPr="000F4BBF" w:rsidTr="00647CF8">
        <w:trPr>
          <w:cantSplit/>
          <w:trHeight w:val="776"/>
          <w:jc w:val="center"/>
        </w:trPr>
        <w:tc>
          <w:tcPr>
            <w:tcW w:w="1422" w:type="dxa"/>
            <w:tcBorders>
              <w:top w:val="double" w:sz="4" w:space="0" w:color="auto"/>
              <w:left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Passed</w:t>
            </w:r>
          </w:p>
        </w:tc>
        <w:tc>
          <w:tcPr>
            <w:tcW w:w="3462" w:type="dxa"/>
            <w:tcBorders>
              <w:top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The run was successfully completed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Both pouch controls were successful.</w:t>
            </w:r>
          </w:p>
        </w:tc>
        <w:tc>
          <w:tcPr>
            <w:tcW w:w="4265" w:type="dxa"/>
            <w:tcBorders>
              <w:top w:val="double" w:sz="4" w:space="0" w:color="auto"/>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None</w:t>
            </w:r>
          </w:p>
          <w:p w:rsidR="0089485F" w:rsidRPr="00B41F38" w:rsidRDefault="0089485F" w:rsidP="00647CF8">
            <w:pPr>
              <w:pStyle w:val="Heading5"/>
              <w:rPr>
                <w:rFonts w:eastAsia="Times New Roman"/>
                <w:color w:val="auto"/>
              </w:rPr>
            </w:pPr>
            <w:r w:rsidRPr="00B41F38">
              <w:rPr>
                <w:rFonts w:eastAsia="Times New Roman"/>
                <w:color w:val="auto"/>
              </w:rPr>
              <w:t>Report the results provided on the test report</w:t>
            </w:r>
          </w:p>
        </w:tc>
      </w:tr>
      <w:tr w:rsidR="0089485F" w:rsidRPr="000F4BBF" w:rsidTr="00647CF8">
        <w:trPr>
          <w:cantSplit/>
          <w:trHeight w:val="1000"/>
          <w:jc w:val="center"/>
        </w:trPr>
        <w:tc>
          <w:tcPr>
            <w:tcW w:w="1422" w:type="dxa"/>
            <w:tcBorders>
              <w:top w:val="double" w:sz="4" w:space="0" w:color="auto"/>
              <w:left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Failed</w:t>
            </w:r>
          </w:p>
        </w:tc>
        <w:tc>
          <w:tcPr>
            <w:tcW w:w="3462" w:type="dxa"/>
            <w:tcBorders>
              <w:top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The run was successfully completed</w:t>
            </w:r>
          </w:p>
          <w:p w:rsidR="0089485F" w:rsidRPr="00B41F38" w:rsidRDefault="0089485F" w:rsidP="00647CF8">
            <w:pPr>
              <w:pStyle w:val="Heading5"/>
              <w:rPr>
                <w:rFonts w:eastAsia="Times New Roman"/>
                <w:color w:val="auto"/>
              </w:rPr>
            </w:pPr>
            <w:r w:rsidRPr="00B41F38">
              <w:rPr>
                <w:rFonts w:eastAsia="Times New Roman"/>
                <w:color w:val="auto"/>
              </w:rPr>
              <w:t>BUT</w:t>
            </w:r>
          </w:p>
          <w:p w:rsidR="0089485F" w:rsidRPr="00B41F38" w:rsidRDefault="0089485F" w:rsidP="00647CF8">
            <w:pPr>
              <w:pStyle w:val="Heading5"/>
              <w:rPr>
                <w:rFonts w:eastAsia="Times New Roman"/>
                <w:color w:val="auto"/>
              </w:rPr>
            </w:pPr>
            <w:r w:rsidRPr="00B41F38">
              <w:rPr>
                <w:rFonts w:eastAsia="Times New Roman"/>
                <w:color w:val="auto"/>
              </w:rPr>
              <w:t>At least one of the pouch controls (RNA Process Control and/or PCR2 Control) failed.</w:t>
            </w:r>
          </w:p>
        </w:tc>
        <w:tc>
          <w:tcPr>
            <w:tcW w:w="4265" w:type="dxa"/>
            <w:tcBorders>
              <w:top w:val="double" w:sz="4" w:space="0" w:color="auto"/>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Repeat the test using a new pouch.</w:t>
            </w:r>
          </w:p>
          <w:p w:rsidR="0089485F" w:rsidRPr="00B41F38" w:rsidRDefault="0089485F" w:rsidP="00647CF8">
            <w:pPr>
              <w:pStyle w:val="Heading5"/>
              <w:rPr>
                <w:rFonts w:eastAsia="Times New Roman"/>
                <w:color w:val="auto"/>
              </w:rPr>
            </w:pPr>
            <w:r w:rsidRPr="00B41F38">
              <w:rPr>
                <w:rFonts w:eastAsia="Times New Roman"/>
                <w:color w:val="auto"/>
              </w:rPr>
              <w:t>If the error persists, contact Technical Support for further instruction.</w:t>
            </w:r>
          </w:p>
        </w:tc>
      </w:tr>
      <w:tr w:rsidR="0089485F" w:rsidRPr="000F4BBF" w:rsidTr="00647CF8">
        <w:trPr>
          <w:cantSplit/>
          <w:trHeight w:val="1344"/>
          <w:jc w:val="center"/>
        </w:trPr>
        <w:tc>
          <w:tcPr>
            <w:tcW w:w="1422" w:type="dxa"/>
            <w:tcBorders>
              <w:top w:val="double" w:sz="4" w:space="0" w:color="auto"/>
              <w:left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Invalid</w:t>
            </w:r>
          </w:p>
        </w:tc>
        <w:tc>
          <w:tcPr>
            <w:tcW w:w="3462" w:type="dxa"/>
            <w:tcBorders>
              <w:top w:val="double" w:sz="4" w:space="0" w:color="auto"/>
              <w:bottom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The controls are invalid because the run did not complete.</w:t>
            </w:r>
          </w:p>
          <w:p w:rsidR="0089485F" w:rsidRPr="00B41F38" w:rsidRDefault="0089485F" w:rsidP="00647CF8">
            <w:pPr>
              <w:pStyle w:val="Heading5"/>
              <w:rPr>
                <w:rFonts w:eastAsia="Times New Roman"/>
                <w:color w:val="auto"/>
              </w:rPr>
            </w:pPr>
            <w:r w:rsidRPr="00B41F38">
              <w:rPr>
                <w:rFonts w:eastAsia="Times New Roman"/>
                <w:color w:val="auto"/>
              </w:rPr>
              <w:t>(Typically this indicates a software or hardware error).</w:t>
            </w:r>
          </w:p>
        </w:tc>
        <w:tc>
          <w:tcPr>
            <w:tcW w:w="4265" w:type="dxa"/>
            <w:tcBorders>
              <w:top w:val="double" w:sz="4" w:space="0" w:color="auto"/>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Note any error codes displayed during the run and the Run Status field in the Run Details section of the report. Refer to the appropriate FilmArray Operator’s Manual or contact Technical Support for further instruction.</w:t>
            </w:r>
          </w:p>
          <w:p w:rsidR="0089485F" w:rsidRPr="00B41F38" w:rsidRDefault="0089485F" w:rsidP="00647CF8">
            <w:pPr>
              <w:pStyle w:val="Heading5"/>
              <w:rPr>
                <w:rFonts w:eastAsia="Times New Roman"/>
                <w:color w:val="auto"/>
              </w:rPr>
            </w:pPr>
            <w:r w:rsidRPr="00B41F38">
              <w:rPr>
                <w:rFonts w:eastAsia="Times New Roman"/>
                <w:color w:val="auto"/>
              </w:rPr>
              <w:t>Once the error is resolved, repeat the test or repeat the test using another instrument.</w:t>
            </w:r>
          </w:p>
        </w:tc>
      </w:tr>
    </w:tbl>
    <w:p w:rsidR="0089485F" w:rsidRDefault="0089485F" w:rsidP="0089485F"/>
    <w:p w:rsidR="0089485F" w:rsidRPr="00B41F38" w:rsidRDefault="0089485F" w:rsidP="00B41F38">
      <w:pPr>
        <w:pStyle w:val="Heading3"/>
        <w:pBdr>
          <w:bottom w:val="none" w:sz="0" w:space="0" w:color="auto"/>
        </w:pBdr>
        <w:rPr>
          <w:color w:val="auto"/>
        </w:rPr>
      </w:pPr>
      <w:r w:rsidRPr="00B41F38">
        <w:rPr>
          <w:color w:val="auto"/>
        </w:rPr>
        <w:t>Results Summary</w:t>
      </w:r>
    </w:p>
    <w:p w:rsidR="0089485F" w:rsidRDefault="0089485F" w:rsidP="0089485F">
      <w:r w:rsidRPr="000F4BBF">
        <w:t xml:space="preserve">The </w:t>
      </w:r>
      <w:r w:rsidRPr="00B22A45">
        <w:t>Result Summary</w:t>
      </w:r>
      <w:r w:rsidRPr="000F4BBF">
        <w:rPr>
          <w:b/>
        </w:rPr>
        <w:t xml:space="preserve"> </w:t>
      </w:r>
      <w:r w:rsidRPr="000F4BBF">
        <w:t xml:space="preserve">section of the test report lists the result for each target tested by the panel. Possible results for each organism are Detected, Not Detected, or Invalid. </w:t>
      </w:r>
      <w:r w:rsidRPr="00793052">
        <w:fldChar w:fldCharType="begin"/>
      </w:r>
      <w:r w:rsidRPr="0000337F">
        <w:instrText xml:space="preserve"> REF _Ref465411883 \h  \* MERGEFORMAT </w:instrText>
      </w:r>
      <w:r w:rsidRPr="00793052">
        <w:fldChar w:fldCharType="separate"/>
      </w:r>
      <w:r w:rsidR="00A500D8" w:rsidRPr="00B41F38">
        <w:t xml:space="preserve">Table </w:t>
      </w:r>
      <w:r w:rsidR="00A500D8">
        <w:rPr>
          <w:noProof/>
        </w:rPr>
        <w:t>3</w:t>
      </w:r>
      <w:r w:rsidRPr="00793052">
        <w:fldChar w:fldCharType="end"/>
      </w:r>
      <w:r w:rsidRPr="0000337F">
        <w:t xml:space="preserve"> provides an explanation</w:t>
      </w:r>
      <w:r w:rsidRPr="000F4BBF">
        <w:t xml:space="preserve"> for each interpretation and any follow-up necessary to obtain a final result</w:t>
      </w:r>
      <w:r>
        <w:t>.</w:t>
      </w:r>
    </w:p>
    <w:p w:rsidR="0089485F" w:rsidRPr="00B41F38" w:rsidRDefault="0089485F" w:rsidP="0089485F">
      <w:pPr>
        <w:pStyle w:val="Heading4"/>
        <w:rPr>
          <w:color w:val="auto"/>
        </w:rPr>
      </w:pPr>
      <w:bookmarkStart w:id="25" w:name="_Ref465411883"/>
      <w:r w:rsidRPr="00B41F38">
        <w:rPr>
          <w:color w:val="auto"/>
        </w:rPr>
        <w:t xml:space="preserve">Table </w:t>
      </w:r>
      <w:r w:rsidRPr="00B41F38">
        <w:rPr>
          <w:color w:val="auto"/>
        </w:rPr>
        <w:fldChar w:fldCharType="begin"/>
      </w:r>
      <w:r w:rsidRPr="00B41F38">
        <w:rPr>
          <w:color w:val="auto"/>
        </w:rPr>
        <w:instrText xml:space="preserve"> SEQ Table \* ARABIC </w:instrText>
      </w:r>
      <w:r w:rsidRPr="00B41F38">
        <w:rPr>
          <w:color w:val="auto"/>
        </w:rPr>
        <w:fldChar w:fldCharType="separate"/>
      </w:r>
      <w:r w:rsidR="00A500D8">
        <w:rPr>
          <w:noProof/>
          <w:color w:val="auto"/>
        </w:rPr>
        <w:t>3</w:t>
      </w:r>
      <w:r w:rsidRPr="00B41F38">
        <w:rPr>
          <w:noProof/>
          <w:color w:val="auto"/>
        </w:rPr>
        <w:fldChar w:fldCharType="end"/>
      </w:r>
      <w:bookmarkEnd w:id="25"/>
      <w:r w:rsidRPr="00B41F38">
        <w:rPr>
          <w:color w:val="auto"/>
        </w:rPr>
        <w:t>. Reporting of Results and Required Actions</w:t>
      </w:r>
    </w:p>
    <w:tbl>
      <w:tblPr>
        <w:tblW w:w="10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6930"/>
        <w:gridCol w:w="1980"/>
      </w:tblGrid>
      <w:tr w:rsidR="0089485F" w:rsidRPr="000F4BBF" w:rsidTr="00647CF8">
        <w:trPr>
          <w:tblHeader/>
          <w:jc w:val="center"/>
        </w:trPr>
        <w:tc>
          <w:tcPr>
            <w:tcW w:w="1335" w:type="dxa"/>
            <w:tcBorders>
              <w:top w:val="double" w:sz="4" w:space="0" w:color="auto"/>
              <w:left w:val="double" w:sz="4" w:space="0" w:color="auto"/>
              <w:bottom w:val="double" w:sz="4" w:space="0" w:color="auto"/>
            </w:tcBorders>
            <w:shd w:val="clear" w:color="auto" w:fill="8A1F03"/>
          </w:tcPr>
          <w:p w:rsidR="0089485F" w:rsidRPr="00B41F38" w:rsidRDefault="0089485F" w:rsidP="00647CF8">
            <w:pPr>
              <w:pStyle w:val="Heading5"/>
              <w:rPr>
                <w:rFonts w:eastAsia="Times New Roman"/>
                <w:b/>
                <w:color w:val="auto"/>
              </w:rPr>
            </w:pPr>
            <w:r w:rsidRPr="00B41F38">
              <w:rPr>
                <w:rFonts w:eastAsia="Times New Roman"/>
                <w:b/>
                <w:color w:val="auto"/>
              </w:rPr>
              <w:t>Result</w:t>
            </w:r>
          </w:p>
        </w:tc>
        <w:tc>
          <w:tcPr>
            <w:tcW w:w="6930" w:type="dxa"/>
            <w:tcBorders>
              <w:top w:val="double" w:sz="4" w:space="0" w:color="auto"/>
              <w:bottom w:val="double" w:sz="4" w:space="0" w:color="auto"/>
            </w:tcBorders>
            <w:shd w:val="clear" w:color="auto" w:fill="8A1F03"/>
          </w:tcPr>
          <w:p w:rsidR="0089485F" w:rsidRPr="00B41F38" w:rsidRDefault="0089485F" w:rsidP="00647CF8">
            <w:pPr>
              <w:pStyle w:val="Heading5"/>
              <w:rPr>
                <w:rFonts w:eastAsia="Times New Roman"/>
                <w:b/>
                <w:color w:val="auto"/>
              </w:rPr>
            </w:pPr>
            <w:r w:rsidRPr="00B41F38">
              <w:rPr>
                <w:rFonts w:eastAsia="Times New Roman"/>
                <w:b/>
                <w:color w:val="auto"/>
              </w:rPr>
              <w:t>Explanation</w:t>
            </w:r>
          </w:p>
        </w:tc>
        <w:tc>
          <w:tcPr>
            <w:tcW w:w="1980" w:type="dxa"/>
            <w:tcBorders>
              <w:top w:val="double" w:sz="4" w:space="0" w:color="auto"/>
              <w:bottom w:val="double" w:sz="4" w:space="0" w:color="auto"/>
              <w:right w:val="double" w:sz="4" w:space="0" w:color="auto"/>
            </w:tcBorders>
            <w:shd w:val="clear" w:color="auto" w:fill="8A1F03"/>
          </w:tcPr>
          <w:p w:rsidR="0089485F" w:rsidRPr="00B41F38" w:rsidRDefault="0089485F" w:rsidP="00647CF8">
            <w:pPr>
              <w:pStyle w:val="Heading5"/>
              <w:rPr>
                <w:rFonts w:eastAsia="Times New Roman"/>
                <w:b/>
                <w:color w:val="auto"/>
              </w:rPr>
            </w:pPr>
            <w:r w:rsidRPr="00B41F38">
              <w:rPr>
                <w:rFonts w:eastAsia="Times New Roman"/>
                <w:b/>
                <w:color w:val="auto"/>
              </w:rPr>
              <w:t>Action</w:t>
            </w:r>
          </w:p>
        </w:tc>
      </w:tr>
      <w:tr w:rsidR="0089485F" w:rsidRPr="000F4BBF" w:rsidTr="00647CF8">
        <w:trPr>
          <w:jc w:val="center"/>
        </w:trPr>
        <w:tc>
          <w:tcPr>
            <w:tcW w:w="1335" w:type="dxa"/>
            <w:tcBorders>
              <w:top w:val="single" w:sz="4" w:space="0" w:color="auto"/>
              <w:left w:val="double" w:sz="4" w:space="0" w:color="auto"/>
              <w:bottom w:val="double" w:sz="4" w:space="0" w:color="auto"/>
              <w:right w:val="single" w:sz="4" w:space="0" w:color="000000"/>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Detected</w:t>
            </w:r>
            <w:r w:rsidRPr="00B41F38">
              <w:rPr>
                <w:rFonts w:eastAsia="Times New Roman"/>
                <w:color w:val="auto"/>
                <w:vertAlign w:val="superscript"/>
              </w:rPr>
              <w:t>a</w:t>
            </w:r>
          </w:p>
        </w:tc>
        <w:tc>
          <w:tcPr>
            <w:tcW w:w="6930" w:type="dxa"/>
            <w:tcBorders>
              <w:top w:val="single" w:sz="4" w:space="0" w:color="auto"/>
              <w:left w:val="single" w:sz="4" w:space="0" w:color="000000"/>
              <w:bottom w:val="double" w:sz="4" w:space="0" w:color="auto"/>
              <w:right w:val="single" w:sz="4" w:space="0" w:color="000000"/>
            </w:tcBorders>
          </w:tcPr>
          <w:p w:rsidR="0089485F" w:rsidRPr="00B41F38" w:rsidRDefault="0089485F" w:rsidP="00647CF8">
            <w:pPr>
              <w:pStyle w:val="Heading5"/>
              <w:rPr>
                <w:rFonts w:eastAsia="Times New Roman"/>
                <w:color w:val="auto"/>
              </w:rPr>
            </w:pPr>
            <w:r w:rsidRPr="00B41F38">
              <w:rPr>
                <w:rFonts w:eastAsia="Times New Roman"/>
                <w:color w:val="auto"/>
              </w:rPr>
              <w:t>The run was successfully completed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The pouch controls were successful (Passed)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The assay(s) for the organism were POSITIVE</w:t>
            </w:r>
          </w:p>
          <w:p w:rsidR="0089485F" w:rsidRPr="00B41F38" w:rsidRDefault="0089485F" w:rsidP="00647CF8">
            <w:pPr>
              <w:pStyle w:val="Heading5"/>
              <w:rPr>
                <w:rFonts w:eastAsia="Times New Roman"/>
                <w:color w:val="auto"/>
              </w:rPr>
            </w:pPr>
            <w:r w:rsidRPr="00B41F38">
              <w:rPr>
                <w:rFonts w:eastAsia="Times New Roman"/>
                <w:color w:val="auto"/>
              </w:rPr>
              <w:t>(i.e., met the requirements for a positive result described in the Assay Interpretation section above)</w:t>
            </w:r>
          </w:p>
        </w:tc>
        <w:tc>
          <w:tcPr>
            <w:tcW w:w="1980" w:type="dxa"/>
            <w:tcBorders>
              <w:top w:val="single" w:sz="4" w:space="0" w:color="auto"/>
              <w:left w:val="single" w:sz="4" w:space="0" w:color="000000"/>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Report results.</w:t>
            </w:r>
          </w:p>
        </w:tc>
      </w:tr>
      <w:tr w:rsidR="0089485F" w:rsidRPr="000F4BBF" w:rsidTr="00647CF8">
        <w:trPr>
          <w:trHeight w:val="1797"/>
          <w:jc w:val="center"/>
        </w:trPr>
        <w:tc>
          <w:tcPr>
            <w:tcW w:w="1335" w:type="dxa"/>
            <w:tcBorders>
              <w:top w:val="single" w:sz="4" w:space="0" w:color="auto"/>
              <w:left w:val="double" w:sz="4" w:space="0" w:color="auto"/>
              <w:bottom w:val="double" w:sz="4" w:space="0" w:color="auto"/>
              <w:right w:val="single" w:sz="4" w:space="0" w:color="000000"/>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Not Detected</w:t>
            </w:r>
          </w:p>
        </w:tc>
        <w:tc>
          <w:tcPr>
            <w:tcW w:w="6930" w:type="dxa"/>
            <w:tcBorders>
              <w:top w:val="single" w:sz="4" w:space="0" w:color="auto"/>
              <w:left w:val="single" w:sz="4" w:space="0" w:color="000000"/>
              <w:bottom w:val="double" w:sz="4" w:space="0" w:color="auto"/>
              <w:right w:val="single" w:sz="4" w:space="0" w:color="000000"/>
            </w:tcBorders>
          </w:tcPr>
          <w:p w:rsidR="0089485F" w:rsidRPr="00B41F38" w:rsidRDefault="0089485F" w:rsidP="00647CF8">
            <w:pPr>
              <w:pStyle w:val="Heading5"/>
              <w:rPr>
                <w:rFonts w:eastAsia="Times New Roman"/>
                <w:color w:val="auto"/>
              </w:rPr>
            </w:pPr>
            <w:r w:rsidRPr="00B41F38">
              <w:rPr>
                <w:rFonts w:eastAsia="Times New Roman"/>
                <w:color w:val="auto"/>
              </w:rPr>
              <w:t>The run was successfully completed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The pouch controls were successful (Passed)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The assay(s) for the organism were NEGATIVE</w:t>
            </w:r>
          </w:p>
          <w:p w:rsidR="0089485F" w:rsidRPr="00B41F38" w:rsidRDefault="0089485F" w:rsidP="00647CF8">
            <w:pPr>
              <w:pStyle w:val="Heading5"/>
              <w:rPr>
                <w:rFonts w:eastAsia="Times New Roman"/>
                <w:color w:val="auto"/>
              </w:rPr>
            </w:pPr>
            <w:r w:rsidRPr="00B41F38">
              <w:rPr>
                <w:rFonts w:eastAsia="Times New Roman"/>
                <w:color w:val="auto"/>
              </w:rPr>
              <w:t>(i.e., did not meet the requirements for a positive result described in the Assay Interpretation section above)</w:t>
            </w:r>
          </w:p>
        </w:tc>
        <w:tc>
          <w:tcPr>
            <w:tcW w:w="1980" w:type="dxa"/>
            <w:tcBorders>
              <w:top w:val="single" w:sz="4" w:space="0" w:color="auto"/>
              <w:left w:val="single" w:sz="4" w:space="0" w:color="000000"/>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Report results.</w:t>
            </w:r>
          </w:p>
        </w:tc>
      </w:tr>
      <w:tr w:rsidR="0089485F" w:rsidRPr="000F4BBF" w:rsidTr="00647CF8">
        <w:trPr>
          <w:jc w:val="center"/>
        </w:trPr>
        <w:tc>
          <w:tcPr>
            <w:tcW w:w="1335" w:type="dxa"/>
            <w:tcBorders>
              <w:top w:val="single" w:sz="4" w:space="0" w:color="auto"/>
              <w:left w:val="double" w:sz="4" w:space="0" w:color="auto"/>
              <w:bottom w:val="double" w:sz="4" w:space="0" w:color="auto"/>
              <w:right w:val="single" w:sz="4" w:space="0" w:color="000000"/>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Equivocal</w:t>
            </w:r>
          </w:p>
        </w:tc>
        <w:tc>
          <w:tcPr>
            <w:tcW w:w="6930" w:type="dxa"/>
            <w:tcBorders>
              <w:top w:val="single" w:sz="4" w:space="0" w:color="auto"/>
              <w:left w:val="single" w:sz="4" w:space="0" w:color="000000"/>
              <w:bottom w:val="double" w:sz="4" w:space="0" w:color="auto"/>
              <w:right w:val="single" w:sz="4" w:space="0" w:color="000000"/>
            </w:tcBorders>
          </w:tcPr>
          <w:p w:rsidR="0089485F" w:rsidRPr="00B41F38" w:rsidRDefault="0089485F" w:rsidP="00647CF8">
            <w:pPr>
              <w:pStyle w:val="Heading5"/>
              <w:rPr>
                <w:rFonts w:eastAsia="Times New Roman"/>
                <w:color w:val="auto"/>
              </w:rPr>
            </w:pPr>
            <w:r w:rsidRPr="00B41F38">
              <w:rPr>
                <w:rFonts w:eastAsia="Times New Roman"/>
                <w:color w:val="auto"/>
              </w:rPr>
              <w:t>The run was successfully completed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The pouch controls were successful (Passed)</w:t>
            </w:r>
          </w:p>
          <w:p w:rsidR="0089485F" w:rsidRPr="00B41F38" w:rsidRDefault="0089485F" w:rsidP="00647CF8">
            <w:pPr>
              <w:pStyle w:val="Heading5"/>
              <w:rPr>
                <w:rFonts w:eastAsia="Times New Roman"/>
                <w:color w:val="auto"/>
              </w:rPr>
            </w:pPr>
            <w:r w:rsidRPr="00B41F38">
              <w:rPr>
                <w:rFonts w:eastAsia="Times New Roman"/>
                <w:color w:val="auto"/>
              </w:rPr>
              <w:t>AND</w:t>
            </w:r>
          </w:p>
          <w:p w:rsidR="0089485F" w:rsidRPr="00B41F38" w:rsidRDefault="0089485F" w:rsidP="00647CF8">
            <w:pPr>
              <w:pStyle w:val="Heading5"/>
              <w:rPr>
                <w:rFonts w:eastAsia="Times New Roman"/>
                <w:color w:val="auto"/>
              </w:rPr>
            </w:pPr>
            <w:r w:rsidRPr="00B41F38">
              <w:rPr>
                <w:rFonts w:eastAsia="Times New Roman"/>
                <w:color w:val="auto"/>
              </w:rPr>
              <w:t xml:space="preserve">The combination of positive and negative assay results for Influenza A were inconclusive </w:t>
            </w:r>
          </w:p>
          <w:p w:rsidR="0089485F" w:rsidRPr="00B41F38" w:rsidRDefault="0089485F" w:rsidP="00647CF8">
            <w:pPr>
              <w:pStyle w:val="Heading5"/>
              <w:rPr>
                <w:rFonts w:eastAsia="Times New Roman"/>
                <w:color w:val="auto"/>
              </w:rPr>
            </w:pPr>
            <w:r w:rsidRPr="00B41F38">
              <w:rPr>
                <w:rFonts w:eastAsia="Times New Roman"/>
                <w:color w:val="auto"/>
              </w:rPr>
              <w:t>(see</w:t>
            </w:r>
            <w:r w:rsidRPr="00B41F38">
              <w:rPr>
                <w:rFonts w:eastAsia="Times New Roman"/>
                <w:color w:val="auto"/>
              </w:rPr>
              <w:fldChar w:fldCharType="begin"/>
            </w:r>
            <w:r w:rsidRPr="00B41F38">
              <w:rPr>
                <w:rFonts w:eastAsia="Times New Roman"/>
                <w:color w:val="auto"/>
              </w:rPr>
              <w:instrText xml:space="preserve"> REF _Ref313867156 \h  \* MERGEFORMAT </w:instrText>
            </w:r>
            <w:r w:rsidRPr="00B41F38">
              <w:rPr>
                <w:rFonts w:eastAsia="Times New Roman"/>
                <w:color w:val="auto"/>
              </w:rPr>
            </w:r>
            <w:r w:rsidRPr="00B41F38">
              <w:rPr>
                <w:rFonts w:eastAsia="Times New Roman"/>
                <w:color w:val="auto"/>
              </w:rPr>
              <w:fldChar w:fldCharType="separate"/>
            </w:r>
            <w:r w:rsidR="00A500D8" w:rsidRPr="00A500D8">
              <w:rPr>
                <w:rFonts w:eastAsia="Times New Roman"/>
                <w:color w:val="auto"/>
              </w:rPr>
              <w:t xml:space="preserve"> </w:t>
            </w:r>
            <w:r w:rsidR="00A500D8" w:rsidRPr="0089485F">
              <w:rPr>
                <w:rFonts w:eastAsia="Times New Roman"/>
                <w:color w:val="auto"/>
              </w:rPr>
              <w:t xml:space="preserve">Table </w:t>
            </w:r>
            <w:r w:rsidR="00A500D8">
              <w:rPr>
                <w:rFonts w:eastAsia="Times New Roman"/>
                <w:color w:val="auto"/>
              </w:rPr>
              <w:t>1</w:t>
            </w:r>
            <w:r w:rsidRPr="00B41F38">
              <w:rPr>
                <w:rFonts w:eastAsia="Times New Roman"/>
                <w:color w:val="auto"/>
              </w:rPr>
              <w:fldChar w:fldCharType="end"/>
            </w:r>
            <w:r w:rsidRPr="00B41F38">
              <w:rPr>
                <w:rFonts w:eastAsia="Times New Roman"/>
                <w:color w:val="auto"/>
              </w:rPr>
              <w:t>)</w:t>
            </w:r>
          </w:p>
        </w:tc>
        <w:tc>
          <w:tcPr>
            <w:tcW w:w="1980" w:type="dxa"/>
            <w:tcBorders>
              <w:top w:val="single" w:sz="4" w:space="0" w:color="auto"/>
              <w:left w:val="single" w:sz="4" w:space="0" w:color="000000"/>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Retest the original specimen using a new pouch and report the results of the retest.</w:t>
            </w:r>
          </w:p>
        </w:tc>
      </w:tr>
      <w:tr w:rsidR="0089485F" w:rsidRPr="000F4BBF" w:rsidTr="00647CF8">
        <w:trPr>
          <w:jc w:val="center"/>
        </w:trPr>
        <w:tc>
          <w:tcPr>
            <w:tcW w:w="1335" w:type="dxa"/>
            <w:tcBorders>
              <w:top w:val="single" w:sz="4" w:space="0" w:color="auto"/>
              <w:left w:val="double" w:sz="4" w:space="0" w:color="auto"/>
              <w:bottom w:val="double" w:sz="4" w:space="0" w:color="auto"/>
              <w:right w:val="single" w:sz="4" w:space="0" w:color="000000"/>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Invalid</w:t>
            </w:r>
          </w:p>
        </w:tc>
        <w:tc>
          <w:tcPr>
            <w:tcW w:w="6930" w:type="dxa"/>
            <w:tcBorders>
              <w:top w:val="single" w:sz="4" w:space="0" w:color="auto"/>
              <w:left w:val="single" w:sz="4" w:space="0" w:color="000000"/>
              <w:bottom w:val="double" w:sz="4" w:space="0" w:color="auto"/>
              <w:right w:val="single" w:sz="4" w:space="0" w:color="000000"/>
            </w:tcBorders>
          </w:tcPr>
          <w:p w:rsidR="0089485F" w:rsidRPr="00B41F38" w:rsidRDefault="0089485F" w:rsidP="00647CF8">
            <w:pPr>
              <w:pStyle w:val="Heading5"/>
              <w:rPr>
                <w:rFonts w:eastAsia="Times New Roman"/>
                <w:color w:val="auto"/>
              </w:rPr>
            </w:pPr>
            <w:r w:rsidRPr="00B41F38">
              <w:rPr>
                <w:rFonts w:eastAsia="Times New Roman"/>
                <w:color w:val="auto"/>
              </w:rPr>
              <w:t>The pouch controls were not successful (Failed)</w:t>
            </w:r>
          </w:p>
          <w:p w:rsidR="0089485F" w:rsidRPr="00B41F38" w:rsidRDefault="0089485F" w:rsidP="00647CF8">
            <w:pPr>
              <w:pStyle w:val="Heading5"/>
              <w:rPr>
                <w:rFonts w:eastAsia="Times New Roman"/>
                <w:color w:val="auto"/>
              </w:rPr>
            </w:pPr>
            <w:r w:rsidRPr="00B41F38">
              <w:rPr>
                <w:rFonts w:eastAsia="Times New Roman"/>
                <w:color w:val="auto"/>
              </w:rPr>
              <w:t>OR</w:t>
            </w:r>
          </w:p>
          <w:p w:rsidR="0089485F" w:rsidRPr="00B41F38" w:rsidRDefault="0089485F" w:rsidP="00647CF8">
            <w:pPr>
              <w:pStyle w:val="Heading5"/>
              <w:rPr>
                <w:rFonts w:eastAsia="Times New Roman"/>
                <w:color w:val="auto"/>
              </w:rPr>
            </w:pPr>
            <w:r w:rsidRPr="00B41F38">
              <w:rPr>
                <w:rFonts w:eastAsia="Times New Roman"/>
                <w:color w:val="auto"/>
              </w:rPr>
              <w:t>The run was not successful</w:t>
            </w:r>
          </w:p>
          <w:p w:rsidR="0089485F" w:rsidRPr="00B41F38" w:rsidRDefault="0089485F" w:rsidP="00647CF8">
            <w:pPr>
              <w:pStyle w:val="Heading5"/>
              <w:rPr>
                <w:rFonts w:eastAsia="Times New Roman"/>
                <w:color w:val="auto"/>
              </w:rPr>
            </w:pPr>
            <w:r w:rsidRPr="00B41F38">
              <w:rPr>
                <w:rFonts w:eastAsia="Times New Roman"/>
                <w:color w:val="auto"/>
              </w:rPr>
              <w:t>(Run Status displayed as: Aborted, Incomplete, Instrument Error or Software Error)</w:t>
            </w:r>
          </w:p>
        </w:tc>
        <w:tc>
          <w:tcPr>
            <w:tcW w:w="1980" w:type="dxa"/>
            <w:tcBorders>
              <w:top w:val="single" w:sz="4" w:space="0" w:color="auto"/>
              <w:left w:val="single" w:sz="4" w:space="0" w:color="000000"/>
              <w:bottom w:val="double" w:sz="4" w:space="0" w:color="auto"/>
              <w:right w:val="double" w:sz="4" w:space="0" w:color="auto"/>
            </w:tcBorders>
            <w:vAlign w:val="center"/>
          </w:tcPr>
          <w:p w:rsidR="0089485F" w:rsidRPr="00B41F38" w:rsidRDefault="0089485F" w:rsidP="00647CF8">
            <w:pPr>
              <w:pStyle w:val="Heading5"/>
              <w:rPr>
                <w:rFonts w:eastAsia="Times New Roman"/>
                <w:color w:val="auto"/>
              </w:rPr>
            </w:pPr>
            <w:r w:rsidRPr="00B41F38">
              <w:rPr>
                <w:rFonts w:eastAsia="Times New Roman"/>
                <w:color w:val="auto"/>
              </w:rPr>
              <w:t xml:space="preserve">See </w:t>
            </w:r>
            <w:r w:rsidRPr="00B41F38">
              <w:rPr>
                <w:rFonts w:eastAsia="Times New Roman"/>
                <w:color w:val="auto"/>
              </w:rPr>
              <w:fldChar w:fldCharType="begin"/>
            </w:r>
            <w:r w:rsidRPr="00B41F38">
              <w:rPr>
                <w:rFonts w:eastAsia="Times New Roman"/>
                <w:color w:val="auto"/>
              </w:rPr>
              <w:instrText xml:space="preserve"> REF _Ref465411691 \h  \* MERGEFORMAT </w:instrText>
            </w:r>
            <w:r w:rsidRPr="00B41F38">
              <w:rPr>
                <w:rFonts w:eastAsia="Times New Roman"/>
                <w:color w:val="auto"/>
              </w:rPr>
            </w:r>
            <w:r w:rsidRPr="00B41F38">
              <w:rPr>
                <w:rFonts w:eastAsia="Times New Roman"/>
                <w:color w:val="auto"/>
              </w:rPr>
              <w:fldChar w:fldCharType="separate"/>
            </w:r>
            <w:r w:rsidR="00A500D8" w:rsidRPr="00B41F38">
              <w:rPr>
                <w:color w:val="auto"/>
              </w:rPr>
              <w:t xml:space="preserve">Table </w:t>
            </w:r>
            <w:r w:rsidR="00A500D8">
              <w:rPr>
                <w:noProof/>
                <w:color w:val="auto"/>
              </w:rPr>
              <w:t>2</w:t>
            </w:r>
            <w:r w:rsidRPr="00B41F38">
              <w:rPr>
                <w:rFonts w:eastAsia="Times New Roman"/>
                <w:color w:val="auto"/>
              </w:rPr>
              <w:fldChar w:fldCharType="end"/>
            </w:r>
            <w:r w:rsidRPr="00B41F38">
              <w:rPr>
                <w:rFonts w:eastAsia="Times New Roman"/>
                <w:color w:val="auto"/>
              </w:rPr>
              <w:t xml:space="preserve"> , Interpretation of Control Field on the FilmArray Test Report for instruction.</w:t>
            </w:r>
          </w:p>
        </w:tc>
      </w:tr>
    </w:tbl>
    <w:p w:rsidR="0089485F" w:rsidRPr="00173DFB" w:rsidRDefault="0089485F" w:rsidP="0089485F">
      <w:pPr>
        <w:spacing w:line="240" w:lineRule="auto"/>
        <w:ind w:left="720"/>
        <w:rPr>
          <w:sz w:val="16"/>
        </w:rPr>
      </w:pPr>
      <w:r w:rsidRPr="00173DFB">
        <w:rPr>
          <w:rFonts w:eastAsia="Times New Roman"/>
          <w:sz w:val="16"/>
          <w:vertAlign w:val="superscript"/>
        </w:rPr>
        <w:t>a</w:t>
      </w:r>
      <w:r w:rsidRPr="00173DFB">
        <w:rPr>
          <w:sz w:val="16"/>
        </w:rPr>
        <w:t xml:space="preserve"> If </w:t>
      </w:r>
      <w:r>
        <w:rPr>
          <w:sz w:val="16"/>
        </w:rPr>
        <w:t>four</w:t>
      </w:r>
      <w:r w:rsidRPr="00173DFB">
        <w:rPr>
          <w:sz w:val="16"/>
        </w:rPr>
        <w:t xml:space="preserve"> or more organisms are detected in a specimen, retesting is recommended to confirm the polymicrobial result.</w:t>
      </w:r>
    </w:p>
    <w:bookmarkEnd w:id="10"/>
    <w:bookmarkEnd w:id="11"/>
    <w:bookmarkEnd w:id="12"/>
    <w:bookmarkEnd w:id="13"/>
    <w:bookmarkEnd w:id="14"/>
    <w:bookmarkEnd w:id="15"/>
    <w:bookmarkEnd w:id="16"/>
    <w:bookmarkEnd w:id="17"/>
    <w:bookmarkEnd w:id="18"/>
    <w:bookmarkEnd w:id="19"/>
    <w:bookmarkEnd w:id="20"/>
    <w:bookmarkEnd w:id="21"/>
    <w:p w:rsidR="0089485F" w:rsidRDefault="0089485F" w:rsidP="00A661F8">
      <w:pPr>
        <w:spacing w:after="0" w:line="240" w:lineRule="auto"/>
        <w:rPr>
          <w:rFonts w:ascii="Century Schoolbook" w:hAnsi="Century Schoolbook" w:cs="Arial Narrow"/>
          <w:b/>
          <w:bCs/>
          <w:caps/>
          <w:color w:val="999999"/>
          <w:sz w:val="24"/>
          <w:szCs w:val="24"/>
        </w:rPr>
      </w:pPr>
    </w:p>
    <w:p w:rsidR="00B41F38" w:rsidRPr="00B41F38" w:rsidRDefault="00B41F38" w:rsidP="00B41F38">
      <w:pPr>
        <w:pStyle w:val="Heading3"/>
        <w:pBdr>
          <w:bottom w:val="none" w:sz="0" w:space="0" w:color="auto"/>
        </w:pBdr>
        <w:rPr>
          <w:color w:val="auto"/>
        </w:rPr>
      </w:pPr>
      <w:r w:rsidRPr="00B41F38">
        <w:rPr>
          <w:color w:val="auto"/>
        </w:rPr>
        <w:t>Run Details</w:t>
      </w:r>
    </w:p>
    <w:p w:rsidR="00A500D8" w:rsidRDefault="00B41F38" w:rsidP="00A500D8">
      <w:r w:rsidRPr="000F4BBF">
        <w:t xml:space="preserve">The </w:t>
      </w:r>
      <w:r w:rsidRPr="000F4BBF">
        <w:rPr>
          <w:b/>
        </w:rPr>
        <w:t>Run Details</w:t>
      </w:r>
      <w:r w:rsidRPr="000F4BBF">
        <w:t xml:space="preserve"> section provides additional information about the run including: pouch information (type, lot number, and serial number), Run Status (Completed, Incomplete, Aborted, Instrument Error, Instrument Communication Error, or Software Error), the protocol that was used to perform the test, the identity of the operator that performed the test, and the </w:t>
      </w:r>
      <w:r>
        <w:t>instrument</w:t>
      </w:r>
      <w:r w:rsidRPr="000F4BBF">
        <w:t xml:space="preserve"> used to perform the test.</w:t>
      </w:r>
    </w:p>
    <w:p w:rsidR="00A500D8" w:rsidRDefault="00A500D8" w:rsidP="00A500D8"/>
    <w:p w:rsidR="00B41F38" w:rsidRPr="00B41F38" w:rsidRDefault="00B41F38" w:rsidP="00B41F38">
      <w:pPr>
        <w:pStyle w:val="Heading3"/>
        <w:pBdr>
          <w:bottom w:val="none" w:sz="0" w:space="0" w:color="auto"/>
        </w:pBdr>
        <w:rPr>
          <w:color w:val="auto"/>
        </w:rPr>
      </w:pPr>
      <w:r w:rsidRPr="00B41F38">
        <w:rPr>
          <w:color w:val="auto"/>
        </w:rPr>
        <w:t>Change Summary</w:t>
      </w:r>
    </w:p>
    <w:p w:rsidR="00B41F38" w:rsidRDefault="00B41F38" w:rsidP="00B41F38">
      <w:r>
        <w:t>I</w:t>
      </w:r>
      <w:r w:rsidRPr="000F4BBF">
        <w:t>t is possible to edit the Sample ID</w:t>
      </w:r>
      <w:r>
        <w:t xml:space="preserve"> once a run has completed</w:t>
      </w:r>
      <w:r w:rsidRPr="000F4BBF">
        <w:t xml:space="preserve">. If this information has been changed, an additional section called </w:t>
      </w:r>
      <w:r w:rsidRPr="000F4BBF">
        <w:rPr>
          <w:b/>
        </w:rPr>
        <w:t xml:space="preserve">Change </w:t>
      </w:r>
      <w:r>
        <w:rPr>
          <w:b/>
        </w:rPr>
        <w:t>Summary</w:t>
      </w:r>
      <w:r w:rsidRPr="000F4BBF">
        <w:t xml:space="preserve"> will be added to the test report. This Change </w:t>
      </w:r>
      <w:r>
        <w:t>Summary</w:t>
      </w:r>
      <w:r w:rsidRPr="000F4BBF">
        <w:t xml:space="preserve"> section lists the field that was changed, the original entry, the revised entry, the operator that made the change, and the date that the change was made. Sample ID is the only field of the report that can be changed.</w:t>
      </w:r>
    </w:p>
    <w:p w:rsidR="00B41F38" w:rsidRDefault="00B41F38" w:rsidP="00B41F38">
      <w:pPr>
        <w:jc w:val="center"/>
      </w:pPr>
      <w:r>
        <w:rPr>
          <w:noProof/>
        </w:rPr>
        <w:drawing>
          <wp:inline distT="0" distB="0" distL="0" distR="0" wp14:anchorId="26DD1D85" wp14:editId="0BC2502F">
            <wp:extent cx="5124091" cy="492008"/>
            <wp:effectExtent l="0" t="0" r="63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95798" cy="498893"/>
                    </a:xfrm>
                    <a:prstGeom prst="rect">
                      <a:avLst/>
                    </a:prstGeom>
                  </pic:spPr>
                </pic:pic>
              </a:graphicData>
            </a:graphic>
          </wp:inline>
        </w:drawing>
      </w:r>
    </w:p>
    <w:p w:rsidR="00B41F38" w:rsidRPr="00743426" w:rsidRDefault="00B41F38" w:rsidP="00A661F8">
      <w:pPr>
        <w:spacing w:after="0" w:line="240" w:lineRule="auto"/>
        <w:rPr>
          <w:rFonts w:ascii="Century Schoolbook" w:hAnsi="Century Schoolbook" w:cs="Arial Narrow"/>
          <w:b/>
          <w:bCs/>
          <w:caps/>
          <w:color w:val="999999"/>
          <w:sz w:val="24"/>
          <w:szCs w:val="24"/>
        </w:rPr>
      </w:pPr>
    </w:p>
    <w:p w:rsidR="00ED524B" w:rsidRPr="00743426" w:rsidRDefault="00191DB0" w:rsidP="00A661F8">
      <w:pPr>
        <w:pStyle w:val="Heading3"/>
        <w:rPr>
          <w:rFonts w:ascii="Century Schoolbook" w:hAnsi="Century Schoolbook"/>
          <w:szCs w:val="24"/>
        </w:rPr>
      </w:pPr>
      <w:r w:rsidRPr="00743426">
        <w:rPr>
          <w:rFonts w:ascii="Century Schoolbook" w:hAnsi="Century Schoolbook"/>
          <w:szCs w:val="24"/>
        </w:rPr>
        <w:t>References/Related Documents</w:t>
      </w:r>
    </w:p>
    <w:p w:rsidR="00191DB0" w:rsidRPr="00743426" w:rsidRDefault="007E658B" w:rsidP="00A661F8">
      <w:pPr>
        <w:spacing w:line="240" w:lineRule="auto"/>
        <w:rPr>
          <w:rFonts w:ascii="Century Schoolbook" w:hAnsi="Century Schoolbook"/>
          <w:sz w:val="24"/>
          <w:szCs w:val="24"/>
        </w:rPr>
      </w:pPr>
      <w:r>
        <w:rPr>
          <w:rFonts w:ascii="Century Schoolbook" w:hAnsi="Century Schoolbook"/>
          <w:sz w:val="24"/>
          <w:szCs w:val="24"/>
        </w:rPr>
        <w:t>FilmArray®</w:t>
      </w:r>
      <w:r w:rsidR="00102BF6" w:rsidRPr="00743426">
        <w:rPr>
          <w:rFonts w:ascii="Century Schoolbook" w:hAnsi="Century Schoolbook"/>
          <w:sz w:val="24"/>
          <w:szCs w:val="24"/>
        </w:rPr>
        <w:t xml:space="preserve"> Respiratory Panel (</w:t>
      </w:r>
      <w:r>
        <w:rPr>
          <w:rFonts w:ascii="Century Schoolbook" w:hAnsi="Century Schoolbook"/>
          <w:sz w:val="24"/>
          <w:szCs w:val="24"/>
        </w:rPr>
        <w:t>RP2</w:t>
      </w:r>
      <w:r w:rsidR="00102BF6" w:rsidRPr="00743426">
        <w:rPr>
          <w:rFonts w:ascii="Century Schoolbook" w:hAnsi="Century Schoolbook"/>
          <w:sz w:val="24"/>
          <w:szCs w:val="24"/>
        </w:rPr>
        <w:t xml:space="preserve">) CE-IVD Instruction Booklet </w:t>
      </w:r>
      <w:r w:rsidR="00102BF6" w:rsidRPr="00A500D8">
        <w:rPr>
          <w:rFonts w:ascii="Century Schoolbook" w:hAnsi="Century Schoolbook"/>
          <w:sz w:val="24"/>
          <w:szCs w:val="24"/>
        </w:rPr>
        <w:t>(</w:t>
      </w:r>
      <w:r w:rsidR="00A500D8" w:rsidRPr="00A500D8">
        <w:rPr>
          <w:rFonts w:ascii="Century Schoolbook" w:eastAsiaTheme="minorHAnsi" w:hAnsi="Century Schoolbook" w:cs="Arial"/>
          <w:sz w:val="24"/>
          <w:szCs w:val="24"/>
        </w:rPr>
        <w:t>RFIT-PRT-0522-01)</w:t>
      </w:r>
      <w:r w:rsidR="00A500D8">
        <w:rPr>
          <w:rFonts w:ascii="Arial" w:eastAsiaTheme="minorHAnsi" w:hAnsi="Arial" w:cs="Arial"/>
          <w:sz w:val="18"/>
          <w:szCs w:val="18"/>
        </w:rPr>
        <w:t xml:space="preserve"> </w:t>
      </w:r>
      <w:r w:rsidR="00102BF6" w:rsidRPr="00743426">
        <w:rPr>
          <w:rFonts w:ascii="Century Schoolbook" w:hAnsi="Century Schoolbook"/>
          <w:sz w:val="24"/>
          <w:szCs w:val="24"/>
        </w:rPr>
        <w:t>BioFire Diagnostics, LLC</w:t>
      </w:r>
      <w:r w:rsidR="00191DB0" w:rsidRPr="00743426">
        <w:rPr>
          <w:rFonts w:ascii="Century Schoolbook" w:hAnsi="Century Schoolbook"/>
          <w:sz w:val="24"/>
          <w:szCs w:val="24"/>
        </w:rPr>
        <w:t>.</w:t>
      </w:r>
    </w:p>
    <w:sectPr w:rsidR="00191DB0" w:rsidRPr="00743426" w:rsidSect="000D1E4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4B7" w:rsidRDefault="00B504B7" w:rsidP="00E16DF3">
      <w:pPr>
        <w:spacing w:after="0" w:line="240" w:lineRule="auto"/>
      </w:pPr>
      <w:r>
        <w:separator/>
      </w:r>
    </w:p>
  </w:endnote>
  <w:endnote w:type="continuationSeparator" w:id="0">
    <w:p w:rsidR="00B504B7" w:rsidRDefault="00B504B7" w:rsidP="00E1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87" w:usb1="00000000" w:usb2="00000000" w:usb3="00000000" w:csb0="0000009B"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1F" w:rsidRPr="00AF70BF" w:rsidRDefault="001100E4" w:rsidP="00BC5C1F">
    <w:pPr>
      <w:pStyle w:val="Footer"/>
      <w:jc w:val="right"/>
      <w:rPr>
        <w:rFonts w:ascii="Century Schoolbook" w:hAnsi="Century Schoolbook"/>
        <w:color w:val="BFBFBF" w:themeColor="background1" w:themeShade="BF"/>
        <w:sz w:val="14"/>
      </w:rPr>
    </w:pPr>
    <w:r>
      <w:rPr>
        <w:rFonts w:ascii="Century Schoolbook" w:hAnsi="Century Schoolbook"/>
        <w:color w:val="BFBFBF" w:themeColor="background1" w:themeShade="BF"/>
        <w:sz w:val="14"/>
      </w:rPr>
      <w:t>FLM1-MKT-0341-01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4B7" w:rsidRDefault="00B504B7" w:rsidP="00E16DF3">
      <w:pPr>
        <w:spacing w:after="0" w:line="240" w:lineRule="auto"/>
      </w:pPr>
      <w:r>
        <w:separator/>
      </w:r>
    </w:p>
  </w:footnote>
  <w:footnote w:type="continuationSeparator" w:id="0">
    <w:p w:rsidR="00B504B7" w:rsidRDefault="00B504B7" w:rsidP="00E16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9" w:type="dxa"/>
      <w:tblLayout w:type="fixed"/>
      <w:tblCellMar>
        <w:left w:w="29" w:type="dxa"/>
        <w:right w:w="29" w:type="dxa"/>
      </w:tblCellMar>
      <w:tblLook w:val="0000" w:firstRow="0" w:lastRow="0" w:firstColumn="0" w:lastColumn="0" w:noHBand="0" w:noVBand="0"/>
    </w:tblPr>
    <w:tblGrid>
      <w:gridCol w:w="6239"/>
      <w:gridCol w:w="3240"/>
    </w:tblGrid>
    <w:tr w:rsidR="00A85AA6" w:rsidRPr="002E6F27" w:rsidTr="00A85AA6">
      <w:trPr>
        <w:cantSplit/>
      </w:trPr>
      <w:tc>
        <w:tcPr>
          <w:tcW w:w="6239" w:type="dxa"/>
          <w:shd w:val="clear" w:color="auto" w:fill="FFFFFF" w:themeFill="background1"/>
        </w:tcPr>
        <w:p w:rsidR="00A85AA6" w:rsidRPr="00743426" w:rsidRDefault="00A85AA6" w:rsidP="00A85AA6">
          <w:pPr>
            <w:pStyle w:val="Header"/>
            <w:rPr>
              <w:rFonts w:ascii="Century Schoolbook" w:hAnsi="Century Schoolbook"/>
              <w:sz w:val="18"/>
            </w:rPr>
          </w:pPr>
          <w:r w:rsidRPr="00743426">
            <w:rPr>
              <w:rFonts w:ascii="Century Schoolbook" w:hAnsi="Century Schoolbook"/>
              <w:sz w:val="18"/>
            </w:rPr>
            <w:t>Company Name</w:t>
          </w:r>
        </w:p>
        <w:p w:rsidR="00A85AA6" w:rsidRPr="00743426" w:rsidRDefault="00A85AA6" w:rsidP="00A85AA6">
          <w:pPr>
            <w:pStyle w:val="Header"/>
            <w:rPr>
              <w:rFonts w:ascii="Century Schoolbook" w:hAnsi="Century Schoolbook"/>
              <w:sz w:val="18"/>
            </w:rPr>
          </w:pPr>
          <w:r w:rsidRPr="00743426">
            <w:rPr>
              <w:rFonts w:ascii="Century Schoolbook" w:hAnsi="Century Schoolbook"/>
              <w:sz w:val="18"/>
            </w:rPr>
            <w:t>Company Address</w:t>
          </w:r>
        </w:p>
      </w:tc>
      <w:tc>
        <w:tcPr>
          <w:tcW w:w="3240" w:type="dxa"/>
          <w:shd w:val="clear" w:color="auto" w:fill="FFFFFF" w:themeFill="background1"/>
          <w:vAlign w:val="center"/>
        </w:tcPr>
        <w:p w:rsidR="00E16DF3" w:rsidRPr="00743426" w:rsidRDefault="00A85AA6" w:rsidP="00C748D1">
          <w:pPr>
            <w:pStyle w:val="Header"/>
            <w:spacing w:before="40" w:after="80"/>
            <w:jc w:val="right"/>
            <w:rPr>
              <w:rFonts w:ascii="Century Schoolbook" w:hAnsi="Century Schoolbook"/>
              <w:b/>
              <w:color w:val="000000"/>
              <w:sz w:val="18"/>
            </w:rPr>
          </w:pPr>
          <w:r w:rsidRPr="00743426">
            <w:rPr>
              <w:rFonts w:ascii="Century Schoolbook" w:hAnsi="Century Schoolbook"/>
              <w:b/>
              <w:color w:val="000000"/>
              <w:sz w:val="18"/>
            </w:rPr>
            <w:t>FilmArray Respiratory Panel</w:t>
          </w:r>
          <w:r w:rsidR="007E658B">
            <w:rPr>
              <w:rFonts w:ascii="Century Schoolbook" w:hAnsi="Century Schoolbook"/>
              <w:b/>
              <w:color w:val="000000"/>
              <w:sz w:val="18"/>
            </w:rPr>
            <w:t xml:space="preserve"> 2</w:t>
          </w:r>
          <w:r w:rsidR="009C7681" w:rsidRPr="00743426">
            <w:rPr>
              <w:rFonts w:ascii="Century Schoolbook" w:hAnsi="Century Schoolbook"/>
              <w:b/>
              <w:color w:val="000000"/>
              <w:sz w:val="18"/>
            </w:rPr>
            <w:t xml:space="preserve"> (</w:t>
          </w:r>
          <w:r w:rsidR="007E658B">
            <w:rPr>
              <w:rFonts w:ascii="Century Schoolbook" w:hAnsi="Century Schoolbook"/>
              <w:b/>
              <w:color w:val="000000"/>
              <w:sz w:val="18"/>
            </w:rPr>
            <w:t>RP2</w:t>
          </w:r>
          <w:r w:rsidR="009C7681" w:rsidRPr="00743426">
            <w:rPr>
              <w:rFonts w:ascii="Century Schoolbook" w:hAnsi="Century Schoolbook"/>
              <w:b/>
              <w:color w:val="000000"/>
              <w:sz w:val="18"/>
            </w:rPr>
            <w:t>)</w:t>
          </w:r>
          <w:r w:rsidRPr="00743426">
            <w:rPr>
              <w:rFonts w:ascii="Century Schoolbook" w:hAnsi="Century Schoolbook"/>
              <w:b/>
              <w:color w:val="000000"/>
              <w:sz w:val="18"/>
            </w:rPr>
            <w:t xml:space="preserve"> Testing</w:t>
          </w:r>
          <w:r w:rsidRPr="00743426">
            <w:rPr>
              <w:rFonts w:ascii="Century Schoolbook" w:hAnsi="Century Schoolbook"/>
              <w:b/>
              <w:color w:val="000000"/>
              <w:sz w:val="18"/>
            </w:rPr>
            <w:br/>
          </w:r>
          <w:r w:rsidRPr="00743426">
            <w:rPr>
              <w:rFonts w:ascii="Century Schoolbook" w:hAnsi="Century Schoolbook"/>
              <w:sz w:val="18"/>
            </w:rPr>
            <w:t xml:space="preserve">Page </w:t>
          </w:r>
          <w:r w:rsidR="00C24450" w:rsidRPr="00743426">
            <w:rPr>
              <w:rStyle w:val="PageNumber"/>
              <w:rFonts w:ascii="Century Schoolbook" w:hAnsi="Century Schoolbook"/>
              <w:sz w:val="18"/>
            </w:rPr>
            <w:fldChar w:fldCharType="begin"/>
          </w:r>
          <w:r w:rsidR="00E16DF3" w:rsidRPr="00743426">
            <w:rPr>
              <w:rStyle w:val="PageNumber"/>
              <w:rFonts w:ascii="Century Schoolbook" w:hAnsi="Century Schoolbook"/>
              <w:sz w:val="18"/>
            </w:rPr>
            <w:instrText xml:space="preserve"> PAGE </w:instrText>
          </w:r>
          <w:r w:rsidR="00C24450" w:rsidRPr="00743426">
            <w:rPr>
              <w:rStyle w:val="PageNumber"/>
              <w:rFonts w:ascii="Century Schoolbook" w:hAnsi="Century Schoolbook"/>
              <w:sz w:val="18"/>
            </w:rPr>
            <w:fldChar w:fldCharType="separate"/>
          </w:r>
          <w:r w:rsidR="00E226EE">
            <w:rPr>
              <w:rStyle w:val="PageNumber"/>
              <w:rFonts w:ascii="Century Schoolbook" w:hAnsi="Century Schoolbook"/>
              <w:noProof/>
              <w:sz w:val="18"/>
            </w:rPr>
            <w:t>2</w:t>
          </w:r>
          <w:r w:rsidR="00C24450" w:rsidRPr="00743426">
            <w:rPr>
              <w:rStyle w:val="PageNumber"/>
              <w:rFonts w:ascii="Century Schoolbook" w:hAnsi="Century Schoolbook"/>
              <w:sz w:val="18"/>
            </w:rPr>
            <w:fldChar w:fldCharType="end"/>
          </w:r>
          <w:r w:rsidR="00E16DF3" w:rsidRPr="00743426">
            <w:rPr>
              <w:rStyle w:val="PageNumber"/>
              <w:rFonts w:ascii="Century Schoolbook" w:hAnsi="Century Schoolbook"/>
              <w:sz w:val="18"/>
            </w:rPr>
            <w:t xml:space="preserve"> of </w:t>
          </w:r>
          <w:r w:rsidR="00F219EA" w:rsidRPr="00743426">
            <w:rPr>
              <w:rStyle w:val="PageNumber"/>
              <w:rFonts w:ascii="Century Schoolbook" w:hAnsi="Century Schoolbook"/>
              <w:sz w:val="18"/>
            </w:rPr>
            <w:t>1</w:t>
          </w:r>
          <w:r w:rsidR="00743426">
            <w:rPr>
              <w:rStyle w:val="PageNumber"/>
              <w:rFonts w:ascii="Century Schoolbook" w:hAnsi="Century Schoolbook"/>
              <w:sz w:val="18"/>
            </w:rPr>
            <w:t>5</w:t>
          </w:r>
        </w:p>
      </w:tc>
    </w:tr>
  </w:tbl>
  <w:p w:rsidR="00E16DF3" w:rsidRPr="00EF0439" w:rsidRDefault="00E16DF3">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149"/>
    <w:multiLevelType w:val="hybridMultilevel"/>
    <w:tmpl w:val="E8B8776E"/>
    <w:lvl w:ilvl="0" w:tplc="2D4034C4">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0E021BED"/>
    <w:multiLevelType w:val="hybridMultilevel"/>
    <w:tmpl w:val="1FAA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C245C"/>
    <w:multiLevelType w:val="hybridMultilevel"/>
    <w:tmpl w:val="1DE65540"/>
    <w:lvl w:ilvl="0" w:tplc="C68EA93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E347A"/>
    <w:multiLevelType w:val="hybridMultilevel"/>
    <w:tmpl w:val="36DAD0F8"/>
    <w:lvl w:ilvl="0" w:tplc="4CF486E2">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766485E"/>
    <w:multiLevelType w:val="hybridMultilevel"/>
    <w:tmpl w:val="EF345CEE"/>
    <w:lvl w:ilvl="0" w:tplc="ABCAD23A">
      <w:start w:val="1"/>
      <w:numFmt w:val="decimal"/>
      <w:lvlText w:val="%1."/>
      <w:lvlJc w:val="left"/>
      <w:pPr>
        <w:ind w:left="1440" w:hanging="360"/>
      </w:pPr>
      <w:rPr>
        <w:rFonts w:ascii="Arial" w:hAnsi="Arial" w:cs="Times New Roman" w:hint="default"/>
      </w:rPr>
    </w:lvl>
    <w:lvl w:ilvl="1" w:tplc="04090001">
      <w:start w:val="1"/>
      <w:numFmt w:val="bullet"/>
      <w:lvlText w:val=""/>
      <w:lvlJc w:val="left"/>
      <w:pPr>
        <w:ind w:left="1440" w:hanging="360"/>
      </w:pPr>
      <w:rPr>
        <w:rFonts w:ascii="Symbol" w:hAnsi="Symbo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A770C33"/>
    <w:multiLevelType w:val="hybridMultilevel"/>
    <w:tmpl w:val="4E0A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D4531"/>
    <w:multiLevelType w:val="hybridMultilevel"/>
    <w:tmpl w:val="B09A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307BA3"/>
    <w:multiLevelType w:val="hybridMultilevel"/>
    <w:tmpl w:val="62FCD52A"/>
    <w:lvl w:ilvl="0" w:tplc="CE5ACD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20CA19DC"/>
    <w:multiLevelType w:val="hybridMultilevel"/>
    <w:tmpl w:val="9AB215BA"/>
    <w:lvl w:ilvl="0" w:tplc="D7A09F42">
      <w:start w:val="4"/>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C364438"/>
    <w:multiLevelType w:val="hybridMultilevel"/>
    <w:tmpl w:val="F76A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D391D"/>
    <w:multiLevelType w:val="multilevel"/>
    <w:tmpl w:val="4B1E29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C77DB9"/>
    <w:multiLevelType w:val="hybridMultilevel"/>
    <w:tmpl w:val="E5186E4C"/>
    <w:lvl w:ilvl="0" w:tplc="55726A60">
      <w:start w:val="3"/>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53356"/>
    <w:multiLevelType w:val="hybridMultilevel"/>
    <w:tmpl w:val="5DF6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885B65"/>
    <w:multiLevelType w:val="hybridMultilevel"/>
    <w:tmpl w:val="BCC20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4BA65140"/>
    <w:multiLevelType w:val="hybridMultilevel"/>
    <w:tmpl w:val="86A87580"/>
    <w:lvl w:ilvl="0" w:tplc="9A02C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34DE6"/>
    <w:multiLevelType w:val="hybridMultilevel"/>
    <w:tmpl w:val="6470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F4C68"/>
    <w:multiLevelType w:val="hybridMultilevel"/>
    <w:tmpl w:val="10AE5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501698"/>
    <w:multiLevelType w:val="hybridMultilevel"/>
    <w:tmpl w:val="E50C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C87F0A"/>
    <w:multiLevelType w:val="hybridMultilevel"/>
    <w:tmpl w:val="8A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D69DE"/>
    <w:multiLevelType w:val="hybridMultilevel"/>
    <w:tmpl w:val="4ABC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0E74E6"/>
    <w:multiLevelType w:val="hybridMultilevel"/>
    <w:tmpl w:val="7C5EB9E6"/>
    <w:lvl w:ilvl="0" w:tplc="5A5857BC">
      <w:start w:val="1"/>
      <w:numFmt w:val="decimal"/>
      <w:lvlText w:val="%1."/>
      <w:lvlJc w:val="left"/>
      <w:pPr>
        <w:ind w:left="1440" w:hanging="360"/>
      </w:pPr>
      <w:rPr>
        <w:rFonts w:ascii="Times New Roman" w:hAnsi="Times New Roman" w:cs="Times New Roman" w:hint="default"/>
      </w:rPr>
    </w:lvl>
    <w:lvl w:ilvl="1" w:tplc="9FC852C6">
      <w:numFmt w:val="bullet"/>
      <w:lvlText w:val="•"/>
      <w:lvlJc w:val="left"/>
      <w:pPr>
        <w:ind w:left="1440" w:hanging="360"/>
      </w:pPr>
      <w:rPr>
        <w:rFonts w:ascii="Arial" w:eastAsia="Times New Roman" w:hAnsi="Aria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92E641B"/>
    <w:multiLevelType w:val="hybridMultilevel"/>
    <w:tmpl w:val="528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C7453"/>
    <w:multiLevelType w:val="hybridMultilevel"/>
    <w:tmpl w:val="47BEC9C0"/>
    <w:lvl w:ilvl="0" w:tplc="8470572A">
      <w:start w:val="5"/>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CB6616F"/>
    <w:multiLevelType w:val="hybridMultilevel"/>
    <w:tmpl w:val="5C0CCE30"/>
    <w:lvl w:ilvl="0" w:tplc="9C224FEE">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D31346E"/>
    <w:multiLevelType w:val="hybridMultilevel"/>
    <w:tmpl w:val="2D56A0B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5">
    <w:nsid w:val="70250B37"/>
    <w:multiLevelType w:val="hybridMultilevel"/>
    <w:tmpl w:val="78F4B280"/>
    <w:lvl w:ilvl="0" w:tplc="412EFFEC">
      <w:start w:val="1"/>
      <w:numFmt w:val="decimal"/>
      <w:lvlText w:val="%1."/>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F91E91"/>
    <w:multiLevelType w:val="hybridMultilevel"/>
    <w:tmpl w:val="BCEAED7C"/>
    <w:lvl w:ilvl="0" w:tplc="ABCAD23A">
      <w:start w:val="1"/>
      <w:numFmt w:val="decimal"/>
      <w:lvlText w:val="%1."/>
      <w:lvlJc w:val="left"/>
      <w:pPr>
        <w:ind w:left="1440" w:hanging="360"/>
      </w:pPr>
      <w:rPr>
        <w:rFonts w:ascii="Arial" w:hAnsi="Arial" w:cs="Times New Roman" w:hint="default"/>
      </w:rPr>
    </w:lvl>
    <w:lvl w:ilvl="1" w:tplc="04090001">
      <w:start w:val="1"/>
      <w:numFmt w:val="bullet"/>
      <w:lvlText w:val=""/>
      <w:lvlJc w:val="left"/>
      <w:pPr>
        <w:ind w:left="1440" w:hanging="360"/>
      </w:pPr>
      <w:rPr>
        <w:rFonts w:ascii="Symbol" w:hAnsi="Symbo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3C64FBF"/>
    <w:multiLevelType w:val="hybridMultilevel"/>
    <w:tmpl w:val="3690C3F6"/>
    <w:lvl w:ilvl="0" w:tplc="CD5A72BA">
      <w:start w:val="1"/>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55A71"/>
    <w:multiLevelType w:val="multilevel"/>
    <w:tmpl w:val="AF3C00C4"/>
    <w:lvl w:ilvl="0">
      <w:start w:val="1"/>
      <w:numFmt w:val="decimal"/>
      <w:lvlText w:val="%1.0"/>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1267"/>
        </w:tabs>
        <w:ind w:left="1267" w:hanging="547"/>
      </w:pPr>
      <w:rPr>
        <w:rFonts w:cs="Times New Roman" w:hint="default"/>
      </w:rPr>
    </w:lvl>
    <w:lvl w:ilvl="2">
      <w:start w:val="1"/>
      <w:numFmt w:val="decimal"/>
      <w:pStyle w:val="Level3Auto"/>
      <w:lvlText w:val="%1.%2.%3"/>
      <w:lvlJc w:val="left"/>
      <w:pPr>
        <w:tabs>
          <w:tab w:val="num" w:pos="1987"/>
        </w:tabs>
        <w:ind w:left="1987" w:hanging="720"/>
      </w:pPr>
      <w:rPr>
        <w:rFonts w:cs="Times New Roman" w:hint="default"/>
      </w:rPr>
    </w:lvl>
    <w:lvl w:ilvl="3">
      <w:start w:val="1"/>
      <w:numFmt w:val="lowerLetter"/>
      <w:pStyle w:val="Level4Auto"/>
      <w:lvlText w:val="%4"/>
      <w:lvlJc w:val="left"/>
      <w:pPr>
        <w:tabs>
          <w:tab w:val="num" w:pos="2880"/>
        </w:tabs>
        <w:ind w:left="2880" w:hanging="893"/>
      </w:pPr>
      <w:rPr>
        <w:rFonts w:cs="Times New Roman" w:hint="default"/>
      </w:rPr>
    </w:lvl>
    <w:lvl w:ilvl="4">
      <w:start w:val="1"/>
      <w:numFmt w:val="lowerRoman"/>
      <w:pStyle w:val="Level4abc"/>
      <w:lvlText w:val="%5)"/>
      <w:lvlJc w:val="left"/>
      <w:pPr>
        <w:tabs>
          <w:tab w:val="num" w:pos="3600"/>
        </w:tabs>
        <w:ind w:left="3240" w:hanging="360"/>
      </w:pPr>
      <w:rPr>
        <w:rFonts w:cs="Times New Roman" w:hint="default"/>
      </w:rPr>
    </w:lvl>
    <w:lvl w:ilvl="5">
      <w:start w:val="1"/>
      <w:numFmt w:val="decimal"/>
      <w:lvlText w:val="%6"/>
      <w:lvlJc w:val="left"/>
      <w:pPr>
        <w:tabs>
          <w:tab w:val="num" w:pos="1152"/>
        </w:tabs>
        <w:ind w:left="1152" w:hanging="1152"/>
      </w:pPr>
      <w:rPr>
        <w:rFonts w:cs="Times New Roman" w:hint="default"/>
      </w:rPr>
    </w:lvl>
    <w:lvl w:ilvl="6">
      <w:start w:val="1"/>
      <w:numFmt w:val="none"/>
      <w:lvlText w:val="%1.%2.%3.%4.%5.%6.%7"/>
      <w:lvlJc w:val="left"/>
      <w:pPr>
        <w:tabs>
          <w:tab w:val="num" w:pos="1296"/>
        </w:tabs>
        <w:ind w:left="1296" w:hanging="1296"/>
      </w:pPr>
      <w:rPr>
        <w:rFonts w:cs="Times New Roman" w:hint="default"/>
      </w:rPr>
    </w:lvl>
    <w:lvl w:ilvl="7">
      <w:start w:val="1"/>
      <w:numFmt w:val="none"/>
      <w:lvlText w:val="%1.%2.%3.%4.%5.%6.%7.%8"/>
      <w:lvlJc w:val="left"/>
      <w:pPr>
        <w:tabs>
          <w:tab w:val="num" w:pos="1440"/>
        </w:tabs>
        <w:ind w:left="1440" w:hanging="1440"/>
      </w:pPr>
      <w:rPr>
        <w:rFonts w:cs="Times New Roman" w:hint="default"/>
      </w:rPr>
    </w:lvl>
    <w:lvl w:ilvl="8">
      <w:start w:val="1"/>
      <w:numFmt w:val="none"/>
      <w:lvlText w:val="%1.%2.%3.%4.%5.%6.%7.%8.%9"/>
      <w:lvlJc w:val="left"/>
      <w:pPr>
        <w:tabs>
          <w:tab w:val="num" w:pos="1584"/>
        </w:tabs>
        <w:ind w:left="1584" w:hanging="1584"/>
      </w:pPr>
      <w:rPr>
        <w:rFonts w:cs="Times New Roman" w:hint="default"/>
      </w:rPr>
    </w:lvl>
  </w:abstractNum>
  <w:abstractNum w:abstractNumId="29">
    <w:nsid w:val="7C081F0F"/>
    <w:multiLevelType w:val="hybridMultilevel"/>
    <w:tmpl w:val="82D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3407CB"/>
    <w:multiLevelType w:val="hybridMultilevel"/>
    <w:tmpl w:val="731C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3"/>
  </w:num>
  <w:num w:numId="4">
    <w:abstractNumId w:val="3"/>
  </w:num>
  <w:num w:numId="5">
    <w:abstractNumId w:val="20"/>
  </w:num>
  <w:num w:numId="6">
    <w:abstractNumId w:val="8"/>
  </w:num>
  <w:num w:numId="7">
    <w:abstractNumId w:val="22"/>
  </w:num>
  <w:num w:numId="8">
    <w:abstractNumId w:val="29"/>
  </w:num>
  <w:num w:numId="9">
    <w:abstractNumId w:val="13"/>
  </w:num>
  <w:num w:numId="10">
    <w:abstractNumId w:val="24"/>
  </w:num>
  <w:num w:numId="11">
    <w:abstractNumId w:val="0"/>
  </w:num>
  <w:num w:numId="12">
    <w:abstractNumId w:val="1"/>
  </w:num>
  <w:num w:numId="13">
    <w:abstractNumId w:val="10"/>
  </w:num>
  <w:num w:numId="14">
    <w:abstractNumId w:val="21"/>
  </w:num>
  <w:num w:numId="15">
    <w:abstractNumId w:val="27"/>
  </w:num>
  <w:num w:numId="16">
    <w:abstractNumId w:val="11"/>
  </w:num>
  <w:num w:numId="17">
    <w:abstractNumId w:val="16"/>
  </w:num>
  <w:num w:numId="18">
    <w:abstractNumId w:val="17"/>
  </w:num>
  <w:num w:numId="19">
    <w:abstractNumId w:val="12"/>
  </w:num>
  <w:num w:numId="20">
    <w:abstractNumId w:val="9"/>
  </w:num>
  <w:num w:numId="21">
    <w:abstractNumId w:val="5"/>
  </w:num>
  <w:num w:numId="22">
    <w:abstractNumId w:val="6"/>
  </w:num>
  <w:num w:numId="23">
    <w:abstractNumId w:val="19"/>
  </w:num>
  <w:num w:numId="24">
    <w:abstractNumId w:val="25"/>
  </w:num>
  <w:num w:numId="25">
    <w:abstractNumId w:val="30"/>
  </w:num>
  <w:num w:numId="26">
    <w:abstractNumId w:val="14"/>
  </w:num>
  <w:num w:numId="27">
    <w:abstractNumId w:val="18"/>
  </w:num>
  <w:num w:numId="28">
    <w:abstractNumId w:val="15"/>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2"/>
  </w:num>
  <w:num w:numId="34">
    <w:abstractNumId w:val="26"/>
  </w:num>
  <w:num w:numId="35">
    <w:abstractNumId w:val="4"/>
  </w:num>
  <w:num w:numId="36">
    <w:abstractNumId w:val="25"/>
    <w:lvlOverride w:ilvl="0">
      <w:startOverride w:val="1"/>
    </w:lvlOverride>
  </w:num>
  <w:num w:numId="3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A62"/>
    <w:rsid w:val="00003661"/>
    <w:rsid w:val="000B5D6E"/>
    <w:rsid w:val="000D1E40"/>
    <w:rsid w:val="00102BF6"/>
    <w:rsid w:val="00110055"/>
    <w:rsid w:val="001100E4"/>
    <w:rsid w:val="0011121C"/>
    <w:rsid w:val="001159AE"/>
    <w:rsid w:val="00132055"/>
    <w:rsid w:val="0015108C"/>
    <w:rsid w:val="00151879"/>
    <w:rsid w:val="00191DB0"/>
    <w:rsid w:val="001A0679"/>
    <w:rsid w:val="001A7D25"/>
    <w:rsid w:val="001E3798"/>
    <w:rsid w:val="00224029"/>
    <w:rsid w:val="00232037"/>
    <w:rsid w:val="00263929"/>
    <w:rsid w:val="002C15A6"/>
    <w:rsid w:val="002E6F27"/>
    <w:rsid w:val="00342139"/>
    <w:rsid w:val="00393554"/>
    <w:rsid w:val="003B233F"/>
    <w:rsid w:val="003B2D88"/>
    <w:rsid w:val="003D30F2"/>
    <w:rsid w:val="00417D0D"/>
    <w:rsid w:val="00434B3D"/>
    <w:rsid w:val="0048532E"/>
    <w:rsid w:val="004B60FF"/>
    <w:rsid w:val="004F2990"/>
    <w:rsid w:val="005546EB"/>
    <w:rsid w:val="00575D34"/>
    <w:rsid w:val="005855EE"/>
    <w:rsid w:val="00592444"/>
    <w:rsid w:val="005B13B5"/>
    <w:rsid w:val="005E1429"/>
    <w:rsid w:val="005E2398"/>
    <w:rsid w:val="00647A8F"/>
    <w:rsid w:val="00653952"/>
    <w:rsid w:val="006F01E8"/>
    <w:rsid w:val="00713266"/>
    <w:rsid w:val="00743426"/>
    <w:rsid w:val="00760062"/>
    <w:rsid w:val="00770B74"/>
    <w:rsid w:val="007C05B5"/>
    <w:rsid w:val="007C3746"/>
    <w:rsid w:val="007E20F8"/>
    <w:rsid w:val="007E658B"/>
    <w:rsid w:val="007F682A"/>
    <w:rsid w:val="00805220"/>
    <w:rsid w:val="0083038E"/>
    <w:rsid w:val="00842882"/>
    <w:rsid w:val="0089485F"/>
    <w:rsid w:val="00903579"/>
    <w:rsid w:val="009638A2"/>
    <w:rsid w:val="009762BF"/>
    <w:rsid w:val="009C7681"/>
    <w:rsid w:val="00A500D8"/>
    <w:rsid w:val="00A661F8"/>
    <w:rsid w:val="00A85AA6"/>
    <w:rsid w:val="00AD09BD"/>
    <w:rsid w:val="00AF70BF"/>
    <w:rsid w:val="00B03CD4"/>
    <w:rsid w:val="00B33E40"/>
    <w:rsid w:val="00B37A7D"/>
    <w:rsid w:val="00B41F38"/>
    <w:rsid w:val="00B504B7"/>
    <w:rsid w:val="00B60672"/>
    <w:rsid w:val="00B65D21"/>
    <w:rsid w:val="00B9018F"/>
    <w:rsid w:val="00B93543"/>
    <w:rsid w:val="00BC5C1F"/>
    <w:rsid w:val="00BE1783"/>
    <w:rsid w:val="00C15242"/>
    <w:rsid w:val="00C24450"/>
    <w:rsid w:val="00C3522E"/>
    <w:rsid w:val="00C748D1"/>
    <w:rsid w:val="00CA340E"/>
    <w:rsid w:val="00CA5622"/>
    <w:rsid w:val="00CC3AED"/>
    <w:rsid w:val="00CF12B7"/>
    <w:rsid w:val="00D71533"/>
    <w:rsid w:val="00D75142"/>
    <w:rsid w:val="00D87D7C"/>
    <w:rsid w:val="00D94A55"/>
    <w:rsid w:val="00DF08B6"/>
    <w:rsid w:val="00DF7A17"/>
    <w:rsid w:val="00E16DF3"/>
    <w:rsid w:val="00E226EE"/>
    <w:rsid w:val="00ED524B"/>
    <w:rsid w:val="00EE0A62"/>
    <w:rsid w:val="00EF0439"/>
    <w:rsid w:val="00F219EA"/>
    <w:rsid w:val="00F559FB"/>
    <w:rsid w:val="00F90842"/>
    <w:rsid w:val="00FC3DC7"/>
    <w:rsid w:val="00FF2054"/>
    <w:rsid w:val="00FF3FE4"/>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DFC6BAD-96A2-4A06-9E72-3A1AE421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8F"/>
    <w:rPr>
      <w:rFonts w:ascii="Calibri" w:eastAsia="Calibri" w:hAnsi="Calibri" w:cs="Times New Roman"/>
      <w:sz w:val="20"/>
      <w:szCs w:val="20"/>
    </w:rPr>
  </w:style>
  <w:style w:type="paragraph" w:styleId="Heading2">
    <w:name w:val="heading 2"/>
    <w:basedOn w:val="Normal"/>
    <w:next w:val="Normal"/>
    <w:link w:val="Heading2Char"/>
    <w:uiPriority w:val="9"/>
    <w:semiHidden/>
    <w:unhideWhenUsed/>
    <w:qFormat/>
    <w:rsid w:val="003D30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1E3798"/>
    <w:pPr>
      <w:keepNext/>
      <w:pBdr>
        <w:bottom w:val="single" w:sz="4" w:space="1" w:color="auto"/>
      </w:pBdr>
      <w:spacing w:before="120" w:after="240" w:line="240" w:lineRule="auto"/>
      <w:outlineLvl w:val="2"/>
    </w:pPr>
    <w:rPr>
      <w:rFonts w:ascii="Arial Narrow" w:eastAsia="Times New Roman" w:hAnsi="Arial Narrow"/>
      <w:b/>
      <w:color w:val="8A1F03"/>
      <w:sz w:val="28"/>
    </w:rPr>
  </w:style>
  <w:style w:type="paragraph" w:styleId="Heading4">
    <w:name w:val="heading 4"/>
    <w:basedOn w:val="Normal"/>
    <w:next w:val="Normal"/>
    <w:link w:val="Heading4Char"/>
    <w:uiPriority w:val="9"/>
    <w:semiHidden/>
    <w:unhideWhenUsed/>
    <w:qFormat/>
    <w:rsid w:val="003D30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30F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s-black">
    <w:name w:val="section headings-black"/>
    <w:basedOn w:val="Normal"/>
    <w:link w:val="sectionheadings-blackChar"/>
    <w:rsid w:val="00B9018F"/>
    <w:pPr>
      <w:pBdr>
        <w:bottom w:val="dotted" w:sz="8" w:space="2" w:color="000000"/>
      </w:pBdr>
      <w:autoSpaceDE w:val="0"/>
      <w:autoSpaceDN w:val="0"/>
      <w:adjustRightInd w:val="0"/>
      <w:spacing w:after="0" w:line="288" w:lineRule="auto"/>
      <w:ind w:left="360"/>
      <w:textAlignment w:val="center"/>
    </w:pPr>
    <w:rPr>
      <w:rFonts w:ascii="Arial Narrow" w:hAnsi="Arial Narrow" w:cs="Arial Narrow"/>
      <w:b/>
      <w:bCs/>
      <w:color w:val="000000"/>
    </w:rPr>
  </w:style>
  <w:style w:type="paragraph" w:customStyle="1" w:styleId="chaptertext">
    <w:name w:val="chapter text"/>
    <w:basedOn w:val="Normal"/>
    <w:link w:val="chaptertextChar"/>
    <w:rsid w:val="00B9018F"/>
    <w:pPr>
      <w:autoSpaceDE w:val="0"/>
      <w:autoSpaceDN w:val="0"/>
      <w:adjustRightInd w:val="0"/>
      <w:spacing w:after="0" w:line="288" w:lineRule="auto"/>
      <w:ind w:left="360"/>
      <w:textAlignment w:val="center"/>
    </w:pPr>
    <w:rPr>
      <w:rFonts w:ascii="Arial" w:hAnsi="Arial" w:cs="Arial"/>
      <w:color w:val="000000"/>
      <w:sz w:val="16"/>
      <w:szCs w:val="16"/>
    </w:rPr>
  </w:style>
  <w:style w:type="paragraph" w:customStyle="1" w:styleId="NumberedTabs">
    <w:name w:val="Numbered Tabs"/>
    <w:basedOn w:val="Normal"/>
    <w:rsid w:val="00B9018F"/>
    <w:pPr>
      <w:autoSpaceDE w:val="0"/>
      <w:autoSpaceDN w:val="0"/>
      <w:adjustRightInd w:val="0"/>
      <w:spacing w:after="72" w:line="288" w:lineRule="auto"/>
      <w:ind w:left="880" w:hanging="340"/>
      <w:textAlignment w:val="center"/>
    </w:pPr>
    <w:rPr>
      <w:rFonts w:ascii="Arial" w:hAnsi="Arial" w:cs="Arial"/>
      <w:color w:val="000000"/>
      <w:sz w:val="16"/>
      <w:szCs w:val="16"/>
    </w:rPr>
  </w:style>
  <w:style w:type="paragraph" w:customStyle="1" w:styleId="cautiontext">
    <w:name w:val="caution text"/>
    <w:basedOn w:val="Normal"/>
    <w:uiPriority w:val="99"/>
    <w:rsid w:val="00B9018F"/>
    <w:pPr>
      <w:autoSpaceDE w:val="0"/>
      <w:autoSpaceDN w:val="0"/>
      <w:adjustRightInd w:val="0"/>
      <w:spacing w:after="0" w:line="288" w:lineRule="auto"/>
      <w:ind w:left="360"/>
      <w:textAlignment w:val="center"/>
    </w:pPr>
    <w:rPr>
      <w:rFonts w:ascii="Arial" w:hAnsi="Arial" w:cs="Arial"/>
      <w:b/>
      <w:bCs/>
      <w:color w:val="000000"/>
      <w:sz w:val="16"/>
      <w:szCs w:val="16"/>
    </w:rPr>
  </w:style>
  <w:style w:type="character" w:customStyle="1" w:styleId="chaptertextChar">
    <w:name w:val="chapter text Char"/>
    <w:basedOn w:val="DefaultParagraphFont"/>
    <w:link w:val="chaptertext"/>
    <w:locked/>
    <w:rsid w:val="00B9018F"/>
    <w:rPr>
      <w:rFonts w:ascii="Arial" w:eastAsia="Calibri" w:hAnsi="Arial" w:cs="Arial"/>
      <w:color w:val="000000"/>
      <w:sz w:val="16"/>
      <w:szCs w:val="16"/>
    </w:rPr>
  </w:style>
  <w:style w:type="paragraph" w:customStyle="1" w:styleId="basetext">
    <w:name w:val="base text"/>
    <w:basedOn w:val="Normal"/>
    <w:link w:val="basetextChar"/>
    <w:rsid w:val="00B9018F"/>
    <w:pPr>
      <w:tabs>
        <w:tab w:val="left" w:pos="360"/>
        <w:tab w:val="left" w:pos="720"/>
        <w:tab w:val="left" w:pos="1080"/>
        <w:tab w:val="left" w:pos="1440"/>
        <w:tab w:val="left" w:pos="1800"/>
        <w:tab w:val="left" w:pos="2160"/>
        <w:tab w:val="left" w:pos="2520"/>
        <w:tab w:val="left" w:pos="2880"/>
      </w:tabs>
      <w:spacing w:before="120" w:after="120" w:line="240" w:lineRule="auto"/>
      <w:ind w:left="720"/>
    </w:pPr>
    <w:rPr>
      <w:rFonts w:ascii="Times New Roman" w:eastAsia="Times New Roman" w:hAnsi="Times New Roman" w:cs="Arial"/>
    </w:rPr>
  </w:style>
  <w:style w:type="paragraph" w:customStyle="1" w:styleId="ChaptertextBookstyles">
    <w:name w:val="Chapter text (Book styles)"/>
    <w:basedOn w:val="Normal"/>
    <w:uiPriority w:val="99"/>
    <w:rsid w:val="00B9018F"/>
    <w:pPr>
      <w:autoSpaceDE w:val="0"/>
      <w:autoSpaceDN w:val="0"/>
      <w:adjustRightInd w:val="0"/>
      <w:spacing w:after="144" w:line="288" w:lineRule="auto"/>
      <w:ind w:left="360"/>
      <w:textAlignment w:val="baseline"/>
    </w:pPr>
    <w:rPr>
      <w:rFonts w:ascii="Arial" w:hAnsi="Arial" w:cs="Arial"/>
      <w:color w:val="000000"/>
    </w:rPr>
  </w:style>
  <w:style w:type="paragraph" w:customStyle="1" w:styleId="step">
    <w:name w:val="step"/>
    <w:uiPriority w:val="99"/>
    <w:rsid w:val="00B9018F"/>
    <w:pPr>
      <w:spacing w:before="120" w:after="120" w:line="240" w:lineRule="auto"/>
      <w:ind w:left="1080" w:hanging="360"/>
    </w:pPr>
    <w:rPr>
      <w:rFonts w:ascii="Times New Roman" w:eastAsia="Times New Roman" w:hAnsi="Times New Roman" w:cs="Times New Roman"/>
      <w:sz w:val="20"/>
      <w:szCs w:val="20"/>
    </w:rPr>
  </w:style>
  <w:style w:type="paragraph" w:customStyle="1" w:styleId="Level3Auto">
    <w:name w:val="Level 3 Auto"/>
    <w:basedOn w:val="Normal"/>
    <w:autoRedefine/>
    <w:uiPriority w:val="99"/>
    <w:rsid w:val="00B9018F"/>
    <w:pPr>
      <w:numPr>
        <w:ilvl w:val="2"/>
        <w:numId w:val="1"/>
      </w:numPr>
      <w:spacing w:after="240" w:line="240" w:lineRule="auto"/>
    </w:pPr>
    <w:rPr>
      <w:rFonts w:ascii="Times New Roman" w:eastAsia="Times New Roman" w:hAnsi="Times New Roman"/>
      <w:color w:val="000000"/>
      <w:sz w:val="24"/>
      <w:szCs w:val="24"/>
    </w:rPr>
  </w:style>
  <w:style w:type="paragraph" w:customStyle="1" w:styleId="Level4abc">
    <w:name w:val="Level 4 abc"/>
    <w:basedOn w:val="Normal"/>
    <w:uiPriority w:val="99"/>
    <w:rsid w:val="00B9018F"/>
    <w:pPr>
      <w:numPr>
        <w:ilvl w:val="4"/>
        <w:numId w:val="1"/>
      </w:numPr>
      <w:spacing w:before="80" w:after="80" w:line="260" w:lineRule="atLeast"/>
    </w:pPr>
    <w:rPr>
      <w:rFonts w:ascii="Times New Roman" w:eastAsia="Times New Roman" w:hAnsi="Times New Roman"/>
      <w:color w:val="000000"/>
      <w:sz w:val="24"/>
    </w:rPr>
  </w:style>
  <w:style w:type="paragraph" w:customStyle="1" w:styleId="Level4Auto">
    <w:name w:val="Level 4 Auto"/>
    <w:basedOn w:val="Normal"/>
    <w:autoRedefine/>
    <w:uiPriority w:val="99"/>
    <w:rsid w:val="00B9018F"/>
    <w:pPr>
      <w:numPr>
        <w:ilvl w:val="3"/>
        <w:numId w:val="1"/>
      </w:numPr>
      <w:spacing w:after="240" w:line="240" w:lineRule="auto"/>
    </w:pPr>
    <w:rPr>
      <w:rFonts w:ascii="Arial" w:eastAsia="Times New Roman" w:hAnsi="Arial"/>
      <w:color w:val="000000"/>
      <w:sz w:val="18"/>
    </w:rPr>
  </w:style>
  <w:style w:type="paragraph" w:customStyle="1" w:styleId="InstructionBookletSectionHeading">
    <w:name w:val="Instruction Booklet Section Heading"/>
    <w:basedOn w:val="sectionheadings-black"/>
    <w:link w:val="InstructionBookletSectionHeadingChar"/>
    <w:rsid w:val="00B9018F"/>
    <w:pPr>
      <w:spacing w:before="240"/>
    </w:pPr>
    <w:rPr>
      <w:rFonts w:cs="Arial"/>
      <w:sz w:val="24"/>
      <w:szCs w:val="24"/>
    </w:rPr>
  </w:style>
  <w:style w:type="character" w:customStyle="1" w:styleId="sectionheadings-blackChar">
    <w:name w:val="section headings-black Char"/>
    <w:basedOn w:val="DefaultParagraphFont"/>
    <w:link w:val="sectionheadings-black"/>
    <w:locked/>
    <w:rsid w:val="00B9018F"/>
    <w:rPr>
      <w:rFonts w:ascii="Arial Narrow" w:eastAsia="Calibri" w:hAnsi="Arial Narrow" w:cs="Arial Narrow"/>
      <w:b/>
      <w:bCs/>
      <w:color w:val="000000"/>
      <w:sz w:val="20"/>
      <w:szCs w:val="20"/>
    </w:rPr>
  </w:style>
  <w:style w:type="character" w:customStyle="1" w:styleId="InstructionBookletSectionHeadingChar">
    <w:name w:val="Instruction Booklet Section Heading Char"/>
    <w:basedOn w:val="sectionheadings-blackChar"/>
    <w:link w:val="InstructionBookletSectionHeading"/>
    <w:locked/>
    <w:rsid w:val="00B9018F"/>
    <w:rPr>
      <w:rFonts w:ascii="Arial Narrow" w:eastAsia="Calibri" w:hAnsi="Arial Narrow" w:cs="Arial"/>
      <w:b/>
      <w:bCs/>
      <w:color w:val="000000"/>
      <w:sz w:val="24"/>
      <w:szCs w:val="24"/>
    </w:rPr>
  </w:style>
  <w:style w:type="character" w:customStyle="1" w:styleId="basetextChar">
    <w:name w:val="base text Char"/>
    <w:basedOn w:val="DefaultParagraphFont"/>
    <w:link w:val="basetext"/>
    <w:locked/>
    <w:rsid w:val="00B9018F"/>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B9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18F"/>
    <w:rPr>
      <w:rFonts w:ascii="Tahoma" w:eastAsia="Calibri" w:hAnsi="Tahoma" w:cs="Tahoma"/>
      <w:sz w:val="16"/>
      <w:szCs w:val="16"/>
    </w:rPr>
  </w:style>
  <w:style w:type="paragraph" w:styleId="Caption">
    <w:name w:val="caption"/>
    <w:aliases w:val="Warning/Note"/>
    <w:basedOn w:val="Normal"/>
    <w:next w:val="Normal"/>
    <w:qFormat/>
    <w:rsid w:val="00393554"/>
    <w:pPr>
      <w:keepNext/>
      <w:spacing w:before="120" w:after="0" w:line="240" w:lineRule="auto"/>
      <w:ind w:left="360"/>
    </w:pPr>
    <w:rPr>
      <w:rFonts w:ascii="Arial Narrow" w:eastAsia="Times New Roman" w:hAnsi="Arial Narrow" w:cs="Arial"/>
      <w:b/>
      <w:bCs/>
    </w:rPr>
  </w:style>
  <w:style w:type="paragraph" w:customStyle="1" w:styleId="Instructionbooklet1">
    <w:name w:val="Instruction booklet 1"/>
    <w:basedOn w:val="chaptertext"/>
    <w:link w:val="Instructionbooklet1Char"/>
    <w:uiPriority w:val="99"/>
    <w:rsid w:val="00393554"/>
    <w:pPr>
      <w:spacing w:before="180"/>
    </w:pPr>
    <w:rPr>
      <w:spacing w:val="4"/>
    </w:rPr>
  </w:style>
  <w:style w:type="character" w:customStyle="1" w:styleId="Instructionbooklet1Char">
    <w:name w:val="Instruction booklet 1 Char"/>
    <w:basedOn w:val="chaptertextChar"/>
    <w:link w:val="Instructionbooklet1"/>
    <w:uiPriority w:val="99"/>
    <w:locked/>
    <w:rsid w:val="00393554"/>
    <w:rPr>
      <w:rFonts w:ascii="Arial" w:eastAsia="Calibri" w:hAnsi="Arial" w:cs="Arial"/>
      <w:color w:val="000000"/>
      <w:spacing w:val="4"/>
      <w:sz w:val="16"/>
      <w:szCs w:val="16"/>
    </w:rPr>
  </w:style>
  <w:style w:type="paragraph" w:styleId="ListParagraph">
    <w:name w:val="List Paragraph"/>
    <w:basedOn w:val="Normal"/>
    <w:uiPriority w:val="34"/>
    <w:qFormat/>
    <w:rsid w:val="00393554"/>
    <w:pPr>
      <w:ind w:left="720"/>
      <w:contextualSpacing/>
    </w:pPr>
  </w:style>
  <w:style w:type="table" w:styleId="TableGrid">
    <w:name w:val="Table Grid"/>
    <w:basedOn w:val="TableNormal"/>
    <w:uiPriority w:val="39"/>
    <w:rsid w:val="00653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big">
    <w:name w:val="section headings-big"/>
    <w:basedOn w:val="Normal"/>
    <w:link w:val="sectionheadings-bigChar"/>
    <w:rsid w:val="00653952"/>
    <w:pPr>
      <w:autoSpaceDE w:val="0"/>
      <w:autoSpaceDN w:val="0"/>
      <w:adjustRightInd w:val="0"/>
      <w:spacing w:after="0" w:line="360" w:lineRule="atLeast"/>
      <w:textAlignment w:val="center"/>
    </w:pPr>
    <w:rPr>
      <w:rFonts w:ascii="Arial Narrow" w:hAnsi="Arial Narrow" w:cs="Arial Narrow"/>
      <w:b/>
      <w:bCs/>
      <w:color w:val="999999"/>
      <w:sz w:val="28"/>
      <w:szCs w:val="28"/>
    </w:rPr>
  </w:style>
  <w:style w:type="character" w:customStyle="1" w:styleId="sectionheadings-bigChar">
    <w:name w:val="section headings-big Char"/>
    <w:basedOn w:val="DefaultParagraphFont"/>
    <w:link w:val="sectionheadings-big"/>
    <w:locked/>
    <w:rsid w:val="00653952"/>
    <w:rPr>
      <w:rFonts w:ascii="Arial Narrow" w:eastAsia="Calibri" w:hAnsi="Arial Narrow" w:cs="Arial Narrow"/>
      <w:b/>
      <w:bCs/>
      <w:color w:val="999999"/>
      <w:sz w:val="28"/>
      <w:szCs w:val="28"/>
    </w:rPr>
  </w:style>
  <w:style w:type="paragraph" w:customStyle="1" w:styleId="NoParagraphStyle">
    <w:name w:val="[No Paragraph Style]"/>
    <w:link w:val="NoParagraphStyleChar"/>
    <w:uiPriority w:val="99"/>
    <w:rsid w:val="00ED524B"/>
    <w:pPr>
      <w:autoSpaceDE w:val="0"/>
      <w:autoSpaceDN w:val="0"/>
      <w:adjustRightInd w:val="0"/>
      <w:spacing w:after="0" w:line="288" w:lineRule="auto"/>
      <w:textAlignment w:val="center"/>
    </w:pPr>
    <w:rPr>
      <w:rFonts w:ascii="Times" w:eastAsia="Calibri" w:hAnsi="Times" w:cs="Times"/>
      <w:color w:val="000000"/>
      <w:sz w:val="24"/>
      <w:szCs w:val="24"/>
    </w:rPr>
  </w:style>
  <w:style w:type="character" w:customStyle="1" w:styleId="NoParagraphStyleChar">
    <w:name w:val="[No Paragraph Style] Char"/>
    <w:basedOn w:val="DefaultParagraphFont"/>
    <w:link w:val="NoParagraphStyle"/>
    <w:uiPriority w:val="99"/>
    <w:locked/>
    <w:rsid w:val="00ED524B"/>
    <w:rPr>
      <w:rFonts w:ascii="Times" w:eastAsia="Calibri" w:hAnsi="Times" w:cs="Times"/>
      <w:color w:val="000000"/>
      <w:sz w:val="24"/>
      <w:szCs w:val="24"/>
    </w:rPr>
  </w:style>
  <w:style w:type="paragraph" w:customStyle="1" w:styleId="InstructionBookletMajorHeading">
    <w:name w:val="Instruction Booklet Major Heading"/>
    <w:basedOn w:val="sectionheadings-big"/>
    <w:link w:val="InstructionBookletMajorHeadingChar"/>
    <w:uiPriority w:val="99"/>
    <w:rsid w:val="00ED524B"/>
    <w:rPr>
      <w:caps/>
    </w:rPr>
  </w:style>
  <w:style w:type="character" w:customStyle="1" w:styleId="InstructionBookletMajorHeadingChar">
    <w:name w:val="Instruction Booklet Major Heading Char"/>
    <w:basedOn w:val="sectionheadings-bigChar"/>
    <w:link w:val="InstructionBookletMajorHeading"/>
    <w:uiPriority w:val="99"/>
    <w:locked/>
    <w:rsid w:val="00ED524B"/>
    <w:rPr>
      <w:rFonts w:ascii="Arial Narrow" w:eastAsia="Calibri" w:hAnsi="Arial Narrow" w:cs="Arial Narrow"/>
      <w:b/>
      <w:bCs/>
      <w:caps/>
      <w:color w:val="999999"/>
      <w:sz w:val="28"/>
      <w:szCs w:val="28"/>
    </w:rPr>
  </w:style>
  <w:style w:type="paragraph" w:customStyle="1" w:styleId="Tabletext">
    <w:name w:val="Table text"/>
    <w:basedOn w:val="basetext"/>
    <w:link w:val="TabletextChar"/>
    <w:uiPriority w:val="99"/>
    <w:rsid w:val="00ED524B"/>
    <w:pPr>
      <w:tabs>
        <w:tab w:val="clear" w:pos="1080"/>
      </w:tabs>
      <w:spacing w:line="288" w:lineRule="auto"/>
      <w:ind w:left="360"/>
    </w:pPr>
    <w:rPr>
      <w:rFonts w:ascii="Arial" w:hAnsi="Arial"/>
      <w:color w:val="000000"/>
    </w:rPr>
  </w:style>
  <w:style w:type="character" w:customStyle="1" w:styleId="TabletextChar">
    <w:name w:val="Table text Char"/>
    <w:basedOn w:val="basetextChar"/>
    <w:link w:val="Tabletext"/>
    <w:uiPriority w:val="99"/>
    <w:locked/>
    <w:rsid w:val="00ED524B"/>
    <w:rPr>
      <w:rFonts w:ascii="Arial" w:eastAsia="Times New Roman" w:hAnsi="Arial" w:cs="Arial"/>
      <w:color w:val="000000"/>
      <w:sz w:val="20"/>
      <w:szCs w:val="20"/>
    </w:rPr>
  </w:style>
  <w:style w:type="paragraph" w:styleId="Header">
    <w:name w:val="header"/>
    <w:basedOn w:val="Normal"/>
    <w:link w:val="HeaderChar"/>
    <w:uiPriority w:val="99"/>
    <w:unhideWhenUsed/>
    <w:rsid w:val="00E16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F3"/>
    <w:rPr>
      <w:rFonts w:ascii="Calibri" w:eastAsia="Calibri" w:hAnsi="Calibri" w:cs="Times New Roman"/>
      <w:sz w:val="20"/>
      <w:szCs w:val="20"/>
    </w:rPr>
  </w:style>
  <w:style w:type="paragraph" w:styleId="Footer">
    <w:name w:val="footer"/>
    <w:basedOn w:val="Normal"/>
    <w:link w:val="FooterChar"/>
    <w:uiPriority w:val="99"/>
    <w:unhideWhenUsed/>
    <w:rsid w:val="00E16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F3"/>
    <w:rPr>
      <w:rFonts w:ascii="Calibri" w:eastAsia="Calibri" w:hAnsi="Calibri" w:cs="Times New Roman"/>
      <w:sz w:val="20"/>
      <w:szCs w:val="20"/>
    </w:rPr>
  </w:style>
  <w:style w:type="character" w:styleId="PageNumber">
    <w:name w:val="page number"/>
    <w:basedOn w:val="DefaultParagraphFont"/>
    <w:semiHidden/>
    <w:rsid w:val="00E16DF3"/>
  </w:style>
  <w:style w:type="character" w:customStyle="1" w:styleId="Heading3Char">
    <w:name w:val="Heading 3 Char"/>
    <w:basedOn w:val="DefaultParagraphFont"/>
    <w:link w:val="Heading3"/>
    <w:rsid w:val="001E3798"/>
    <w:rPr>
      <w:rFonts w:ascii="Arial Narrow" w:eastAsia="Times New Roman" w:hAnsi="Arial Narrow" w:cs="Times New Roman"/>
      <w:b/>
      <w:color w:val="8A1F03"/>
      <w:sz w:val="28"/>
      <w:szCs w:val="20"/>
    </w:rPr>
  </w:style>
  <w:style w:type="character" w:customStyle="1" w:styleId="Heading2Char">
    <w:name w:val="Heading 2 Char"/>
    <w:basedOn w:val="DefaultParagraphFont"/>
    <w:link w:val="Heading2"/>
    <w:uiPriority w:val="9"/>
    <w:semiHidden/>
    <w:rsid w:val="003D30F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3D30F2"/>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3D30F2"/>
    <w:rPr>
      <w:rFonts w:asciiTheme="majorHAnsi" w:eastAsiaTheme="majorEastAsia" w:hAnsiTheme="majorHAnsi" w:cstheme="majorBidi"/>
      <w:color w:val="365F91" w:themeColor="accent1" w:themeShade="BF"/>
      <w:sz w:val="20"/>
      <w:szCs w:val="20"/>
    </w:rPr>
  </w:style>
  <w:style w:type="paragraph" w:styleId="Quote">
    <w:name w:val="Quote"/>
    <w:aliases w:val="Footnotes"/>
    <w:basedOn w:val="Normal"/>
    <w:next w:val="Normal"/>
    <w:link w:val="QuoteChar"/>
    <w:uiPriority w:val="29"/>
    <w:qFormat/>
    <w:rsid w:val="003D30F2"/>
    <w:pPr>
      <w:spacing w:before="40" w:after="40"/>
      <w:ind w:left="720"/>
      <w:jc w:val="both"/>
    </w:pPr>
    <w:rPr>
      <w:rFonts w:ascii="Arial" w:eastAsiaTheme="minorHAnsi" w:hAnsi="Arial" w:cstheme="minorBidi"/>
      <w:iCs/>
      <w:color w:val="404040" w:themeColor="text1" w:themeTint="BF"/>
      <w:sz w:val="14"/>
      <w:szCs w:val="22"/>
    </w:rPr>
  </w:style>
  <w:style w:type="character" w:customStyle="1" w:styleId="QuoteChar">
    <w:name w:val="Quote Char"/>
    <w:aliases w:val="Footnotes Char"/>
    <w:basedOn w:val="DefaultParagraphFont"/>
    <w:link w:val="Quote"/>
    <w:uiPriority w:val="29"/>
    <w:rsid w:val="003D30F2"/>
    <w:rPr>
      <w:rFonts w:ascii="Arial" w:hAnsi="Arial"/>
      <w:iCs/>
      <w:color w:val="404040" w:themeColor="text1" w:themeTint="B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1948D-A1B0-441F-B7DC-E41A262E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3449</Words>
  <Characters>19660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Breann Jensen</cp:lastModifiedBy>
  <cp:revision>2</cp:revision>
  <dcterms:created xsi:type="dcterms:W3CDTF">2017-08-01T17:56:00Z</dcterms:created>
  <dcterms:modified xsi:type="dcterms:W3CDTF">2017-08-01T17:56:00Z</dcterms:modified>
</cp:coreProperties>
</file>